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F6" w:rsidRDefault="001F0E6C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20170401</w:t>
      </w:r>
      <w:r>
        <w:rPr>
          <w:rFonts w:asciiTheme="minorEastAsia" w:hAnsiTheme="minorEastAsia"/>
          <w:b/>
          <w:sz w:val="36"/>
          <w:szCs w:val="36"/>
        </w:rPr>
        <w:t>党委中心组</w:t>
      </w:r>
      <w:r>
        <w:rPr>
          <w:rFonts w:asciiTheme="minorEastAsia" w:hAnsiTheme="minorEastAsia" w:hint="eastAsia"/>
          <w:b/>
          <w:sz w:val="36"/>
          <w:szCs w:val="36"/>
        </w:rPr>
        <w:t>学习纪要</w:t>
      </w:r>
      <w:r>
        <w:rPr>
          <w:rFonts w:asciiTheme="minorEastAsia" w:hAnsiTheme="minorEastAsia" w:hint="eastAsia"/>
          <w:b/>
          <w:sz w:val="36"/>
          <w:szCs w:val="36"/>
        </w:rPr>
        <w:t>暨个人建议</w:t>
      </w:r>
    </w:p>
    <w:p w:rsidR="00FD03F6" w:rsidRDefault="001F0E6C">
      <w:pPr>
        <w:jc w:val="center"/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宣传部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bCs/>
          <w:sz w:val="30"/>
          <w:szCs w:val="30"/>
        </w:rPr>
        <w:t>江庆华</w:t>
      </w:r>
    </w:p>
    <w:p w:rsidR="00FD03F6" w:rsidRDefault="001F0E6C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一、纪要：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．袁书记要求下次党委中心组学习签到采用现场会议签到，无纸化办公；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．江庆华谈中心组学习创新及近期市委宣传部的自查要求；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>
        <w:rPr>
          <w:rFonts w:asciiTheme="minorEastAsia" w:hAnsiTheme="minorEastAsia" w:hint="eastAsia"/>
          <w:sz w:val="28"/>
          <w:szCs w:val="28"/>
        </w:rPr>
        <w:t>李弘谈廉政教育及心得体会及时上传；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>
        <w:rPr>
          <w:rFonts w:asciiTheme="minorEastAsia" w:hAnsiTheme="minorEastAsia" w:hint="eastAsia"/>
          <w:sz w:val="28"/>
          <w:szCs w:val="28"/>
        </w:rPr>
        <w:t>袁书记要求根据中央中心组学习规定，制定我院中心组学习规定，一共九点，要体现。不忘初心，要把党的原来的文学习，党的历史、规章要重新学习。体制机制没有创新，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次学习要体现中央文件精神。</w:t>
      </w:r>
      <w:r w:rsidR="005F6BDA">
        <w:rPr>
          <w:rFonts w:asciiTheme="minorEastAsia" w:hAnsiTheme="minorEastAsia" w:hint="eastAsia"/>
          <w:sz w:val="28"/>
          <w:szCs w:val="28"/>
        </w:rPr>
        <w:t>第三点（调研——源头中学、后续企业调研）。</w:t>
      </w:r>
      <w:r>
        <w:rPr>
          <w:rFonts w:asciiTheme="minorEastAsia" w:hAnsiTheme="minorEastAsia" w:hint="eastAsia"/>
          <w:sz w:val="28"/>
          <w:szCs w:val="28"/>
        </w:rPr>
        <w:t>第六点（学习历史人物，挡住历史虚无主义苗头）。</w:t>
      </w:r>
      <w:r>
        <w:rPr>
          <w:rFonts w:asciiTheme="minorEastAsia" w:hAnsiTheme="minorEastAsia" w:hint="eastAsia"/>
          <w:sz w:val="28"/>
          <w:szCs w:val="28"/>
        </w:rPr>
        <w:t>个人心得体会，党员干部要传到路标网（发文中体现）。重点。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</w:t>
      </w:r>
      <w:r>
        <w:rPr>
          <w:rFonts w:asciiTheme="minorEastAsia" w:hAnsiTheme="minorEastAsia" w:hint="eastAsia"/>
          <w:sz w:val="28"/>
          <w:szCs w:val="28"/>
        </w:rPr>
        <w:t>袁书记要求</w:t>
      </w:r>
      <w:r w:rsidR="005F6BDA"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 w:hint="eastAsia"/>
          <w:sz w:val="28"/>
          <w:szCs w:val="28"/>
        </w:rPr>
        <w:t>院制定《关于加强和改进新形势下常州工程职业技术学院思想政治工</w:t>
      </w:r>
      <w:r>
        <w:rPr>
          <w:rFonts w:asciiTheme="minorEastAsia" w:hAnsiTheme="minorEastAsia" w:hint="eastAsia"/>
          <w:sz w:val="28"/>
          <w:szCs w:val="28"/>
        </w:rPr>
        <w:t>作的若干实施意见》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欧书记传达省委省</w:t>
      </w:r>
      <w:r w:rsidR="005F6BDA">
        <w:rPr>
          <w:rFonts w:asciiTheme="minorEastAsia" w:hAnsiTheme="minorEastAsia" w:hint="eastAsia"/>
          <w:sz w:val="28"/>
          <w:szCs w:val="28"/>
        </w:rPr>
        <w:t>政府《关于加强和改进新形势下高校思想政治工作的实施意见》，并谈</w:t>
      </w:r>
      <w:r>
        <w:rPr>
          <w:rFonts w:asciiTheme="minorEastAsia" w:hAnsiTheme="minorEastAsia" w:hint="eastAsia"/>
          <w:sz w:val="28"/>
          <w:szCs w:val="28"/>
        </w:rPr>
        <w:t>学习体会。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吴院长谈打造“人文工程”（仁义礼智信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健）、“教书育人”（传道授业解惑）。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>
        <w:rPr>
          <w:rFonts w:asciiTheme="minorEastAsia" w:hAnsiTheme="minorEastAsia" w:hint="eastAsia"/>
          <w:sz w:val="28"/>
          <w:szCs w:val="28"/>
        </w:rPr>
        <w:t>袁书记就省委省政府《实施意见》要求成员</w:t>
      </w:r>
      <w:r>
        <w:rPr>
          <w:rFonts w:asciiTheme="minorEastAsia" w:hAnsiTheme="minorEastAsia" w:hint="eastAsia"/>
          <w:sz w:val="28"/>
          <w:szCs w:val="28"/>
        </w:rPr>
        <w:t>300</w:t>
      </w:r>
      <w:r>
        <w:rPr>
          <w:rFonts w:asciiTheme="minorEastAsia" w:hAnsiTheme="minorEastAsia" w:hint="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1000</w:t>
      </w:r>
      <w:r>
        <w:rPr>
          <w:rFonts w:asciiTheme="minorEastAsia" w:hAnsiTheme="minorEastAsia" w:hint="eastAsia"/>
          <w:sz w:val="28"/>
          <w:szCs w:val="28"/>
        </w:rPr>
        <w:t>字建议交宣传部。</w:t>
      </w:r>
    </w:p>
    <w:p w:rsidR="00FD03F6" w:rsidRDefault="001F0E6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>袁书记</w:t>
      </w:r>
      <w:r w:rsidR="00260ADC">
        <w:rPr>
          <w:rFonts w:asciiTheme="minorEastAsia" w:hAnsiTheme="minorEastAsia" w:hint="eastAsia"/>
          <w:sz w:val="28"/>
          <w:szCs w:val="28"/>
        </w:rPr>
        <w:t>小结时</w:t>
      </w:r>
      <w:r>
        <w:rPr>
          <w:rFonts w:asciiTheme="minorEastAsia" w:hAnsiTheme="minorEastAsia" w:hint="eastAsia"/>
          <w:sz w:val="28"/>
          <w:szCs w:val="28"/>
        </w:rPr>
        <w:t>三点要求：</w:t>
      </w:r>
    </w:p>
    <w:p w:rsidR="00FD03F6" w:rsidRDefault="001F0E6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(1)</w:t>
      </w:r>
      <w:r>
        <w:rPr>
          <w:rFonts w:asciiTheme="minorEastAsia" w:hAnsiTheme="minorEastAsia" w:hint="eastAsia"/>
          <w:sz w:val="28"/>
          <w:szCs w:val="28"/>
        </w:rPr>
        <w:t>研究起草学校的实施方案。对上表中的内容请相关人员深度思考、广泛调研、上下沟通的基础上完善达标。</w:t>
      </w:r>
    </w:p>
    <w:p w:rsidR="00FD03F6" w:rsidRDefault="001F0E6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r>
        <w:rPr>
          <w:rFonts w:asciiTheme="minorEastAsia" w:hAnsiTheme="minorEastAsia" w:hint="eastAsia"/>
          <w:sz w:val="28"/>
          <w:szCs w:val="28"/>
        </w:rPr>
        <w:t>切实提高思想认识，强化四个意识：政治、核心、局心、看齐。</w:t>
      </w:r>
    </w:p>
    <w:p w:rsidR="00FD03F6" w:rsidRDefault="001F0E6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实现四个全面：全面建成小康社会，全面深化改革，全面依法治国，全面从严治党。</w:t>
      </w:r>
    </w:p>
    <w:p w:rsidR="00FD03F6" w:rsidRDefault="001F0E6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坚定四个自信：道路、理论、制度、文化。</w:t>
      </w:r>
    </w:p>
    <w:p w:rsidR="00FD03F6" w:rsidRDefault="001F0E6C">
      <w:pPr>
        <w:numPr>
          <w:ilvl w:val="0"/>
          <w:numId w:val="1"/>
        </w:num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边学边做，四讲四有：讲政治、有信念，讲规矩、有纪律，讲道德、有品行，讲奉献、有作为。在实践中提升，认识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实践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再认识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再实践。服务中心服务大局，牢记党的宗旨，始终把教职工的要根本利益放首位。形成常州工程独特的校园文化、质量文化。要物化爱校、荣校典型教师。用“诊改”的理念指导党建和思想政治工作。形成目标体系、标准体系和制度体系，常态化！</w:t>
      </w:r>
    </w:p>
    <w:p w:rsidR="00FD03F6" w:rsidRDefault="001F0E6C">
      <w:pPr>
        <w:numPr>
          <w:ilvl w:val="0"/>
          <w:numId w:val="2"/>
        </w:num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学习体会与个人就加强改进学院党建与思想政治工作建议：</w:t>
      </w:r>
    </w:p>
    <w:p w:rsidR="00FD03F6" w:rsidRPr="00260ADC" w:rsidRDefault="001F0E6C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本次</w:t>
      </w:r>
      <w:r>
        <w:rPr>
          <w:rFonts w:asciiTheme="minorEastAsia" w:hAnsiTheme="minorEastAsia" w:hint="eastAsia"/>
          <w:sz w:val="28"/>
          <w:szCs w:val="28"/>
        </w:rPr>
        <w:t>学习分两个专题：一是学习</w:t>
      </w:r>
      <w:r w:rsidRPr="00260ADC">
        <w:rPr>
          <w:rFonts w:asciiTheme="minorEastAsia" w:hAnsiTheme="minorEastAsia" w:hint="eastAsia"/>
          <w:sz w:val="28"/>
          <w:szCs w:val="28"/>
        </w:rPr>
        <w:t>《中国共产党党委（党组）理论学习中心组学习规则》</w:t>
      </w:r>
      <w:r w:rsidRPr="00260ADC">
        <w:rPr>
          <w:rFonts w:asciiTheme="minorEastAsia" w:hAnsiTheme="minorEastAsia" w:hint="eastAsia"/>
          <w:sz w:val="28"/>
          <w:szCs w:val="28"/>
        </w:rPr>
        <w:t>，会议明确要严格按照市委宣传部及上级主管部门要求，在保证学习次数的前提下，进一步创新学习方法，宣传部要修订中心组学习规定，要增加实践学习内容，中心组成员要深入思政教育一线了解情况、听取意见。二是学习江苏省高校思想政治工作会议精神，李强书记从五方面强调了高校思想政治工作的重要性、面临的问题及解决措施，配套的</w:t>
      </w:r>
      <w:r w:rsidRPr="00260ADC">
        <w:rPr>
          <w:rFonts w:asciiTheme="minorEastAsia" w:hAnsiTheme="minorEastAsia" w:hint="eastAsia"/>
          <w:sz w:val="28"/>
          <w:szCs w:val="28"/>
        </w:rPr>
        <w:t>6</w:t>
      </w:r>
      <w:r w:rsidRPr="00260ADC">
        <w:rPr>
          <w:rFonts w:asciiTheme="minorEastAsia" w:hAnsiTheme="minorEastAsia" w:hint="eastAsia"/>
          <w:sz w:val="28"/>
          <w:szCs w:val="28"/>
        </w:rPr>
        <w:t>号文件不仅仅高屋建瓴还十分具体，就一些专兼职师资队伍生师比提出详细要求，本人针对学校现状，提</w:t>
      </w:r>
      <w:r w:rsidRPr="00260ADC">
        <w:rPr>
          <w:rFonts w:asciiTheme="minorEastAsia" w:hAnsiTheme="minorEastAsia" w:hint="eastAsia"/>
          <w:sz w:val="28"/>
          <w:szCs w:val="28"/>
        </w:rPr>
        <w:lastRenderedPageBreak/>
        <w:t>出如下建议：</w:t>
      </w:r>
    </w:p>
    <w:tbl>
      <w:tblPr>
        <w:tblStyle w:val="a5"/>
        <w:tblW w:w="8431" w:type="dxa"/>
        <w:tblLayout w:type="fixed"/>
        <w:tblLook w:val="04A0"/>
      </w:tblPr>
      <w:tblGrid>
        <w:gridCol w:w="481"/>
        <w:gridCol w:w="1628"/>
        <w:gridCol w:w="2181"/>
        <w:gridCol w:w="2506"/>
        <w:gridCol w:w="1635"/>
      </w:tblGrid>
      <w:tr w:rsidR="00FD03F6">
        <w:trPr>
          <w:trHeight w:val="312"/>
        </w:trPr>
        <w:tc>
          <w:tcPr>
            <w:tcW w:w="4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类别</w:t>
            </w: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任务要求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我院现状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对应措施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责任部门</w:t>
            </w:r>
          </w:p>
        </w:tc>
      </w:tr>
      <w:tr w:rsidR="00FD03F6">
        <w:trPr>
          <w:trHeight w:val="1517"/>
        </w:trPr>
        <w:tc>
          <w:tcPr>
            <w:tcW w:w="481" w:type="dxa"/>
            <w:vMerge w:val="restart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领导体制</w:t>
            </w: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明确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名党委副书记主要分管教师思想政治工作；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可成立党委教师工作部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拟由欧汉生副书记分管；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适时成立党委教师工作部，统筹做好教师思想教育和管理服务工作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院党委</w:t>
            </w:r>
          </w:p>
        </w:tc>
      </w:tr>
      <w:tr w:rsidR="00FD03F6">
        <w:trPr>
          <w:trHeight w:val="914"/>
        </w:trPr>
        <w:tc>
          <w:tcPr>
            <w:tcW w:w="481" w:type="dxa"/>
            <w:vMerge/>
            <w:vAlign w:val="center"/>
          </w:tcPr>
          <w:p w:rsidR="00FD03F6" w:rsidRDefault="00FD03F6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组织部长、宣传部长、统战部长任党委委员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方式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：组织部长、宣传部长、统战部长任党委委员；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方式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现</w:t>
            </w:r>
            <w:r>
              <w:rPr>
                <w:rFonts w:ascii="仿宋" w:eastAsia="仿宋" w:hAnsi="仿宋" w:hint="eastAsia"/>
                <w:szCs w:val="21"/>
              </w:rPr>
              <w:t>党委委员担任组织部长、宣传部长、统战部长，</w:t>
            </w:r>
            <w:r>
              <w:rPr>
                <w:rFonts w:ascii="仿宋" w:eastAsia="仿宋" w:hAnsi="仿宋" w:hint="eastAsia"/>
                <w:szCs w:val="21"/>
              </w:rPr>
              <w:t>现</w:t>
            </w:r>
            <w:r>
              <w:rPr>
                <w:rFonts w:ascii="仿宋" w:eastAsia="仿宋" w:hAnsi="仿宋" w:hint="eastAsia"/>
                <w:szCs w:val="21"/>
              </w:rPr>
              <w:t>组织部长、宣传部长、统战部长任部门常务副部长。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院党委</w:t>
            </w:r>
          </w:p>
        </w:tc>
      </w:tr>
      <w:tr w:rsidR="00FD03F6">
        <w:trPr>
          <w:trHeight w:val="2120"/>
        </w:trPr>
        <w:tc>
          <w:tcPr>
            <w:tcW w:w="481" w:type="dxa"/>
            <w:vMerge/>
            <w:vAlign w:val="center"/>
          </w:tcPr>
          <w:p w:rsidR="00FD03F6" w:rsidRDefault="00FD03F6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二级学院推行党政班子成员交叉任职。党员院长一般应同时担任党组织副书记或委员，党员副院长一般应进入党组织领导班子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化工：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制药：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建工：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装饰：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信息：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人（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名院长非党员）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机电：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经管：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人（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名致公党员）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装饰学院需补充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人；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做好思想政治工作是二级学院党政领导班子成员的共同责任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组织部</w:t>
            </w:r>
          </w:p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各二级学院党总支</w:t>
            </w:r>
          </w:p>
        </w:tc>
      </w:tr>
      <w:tr w:rsidR="00FD03F6">
        <w:trPr>
          <w:trHeight w:val="1216"/>
        </w:trPr>
        <w:tc>
          <w:tcPr>
            <w:tcW w:w="481" w:type="dxa"/>
            <w:vMerge/>
            <w:vAlign w:val="center"/>
          </w:tcPr>
          <w:p w:rsidR="00FD03F6" w:rsidRDefault="00FD03F6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实施教工党支部书记“双带头人”培育工程，明确支部书记职责、待遇。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“双带头人”工程未实施；</w:t>
            </w:r>
          </w:p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支部书记职责、待遇未明确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年根据《党支部规范化建设》进一步完善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组织部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81" w:type="dxa"/>
            <w:vMerge w:val="restart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队伍建设</w:t>
            </w: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青年教师普升高一级专业技术职务（职称），须有至少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年担任辅导员、班主任或学业导师等工作经历并考核合格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我院要求须担任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年以上班主任工作经历并考核合格，符合要求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7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教师年度考核、专业技术职务评审、课题申报、岗位聘任（聘用）、评优奖励等方面，实行师德“一票否决”</w:t>
            </w:r>
          </w:p>
        </w:tc>
        <w:tc>
          <w:tcPr>
            <w:tcW w:w="2181" w:type="dxa"/>
            <w:vAlign w:val="center"/>
          </w:tcPr>
          <w:p w:rsidR="00FD03F6" w:rsidRDefault="001F0E6C" w:rsidP="005F6BDA">
            <w:pPr>
              <w:tabs>
                <w:tab w:val="left" w:pos="1332"/>
              </w:tabs>
              <w:ind w:leftChars="51" w:left="107"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7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在教师年度考核、职务（职称）评聘、评优奖励中，把思想政治表现和课堂教学质量作为首要标准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基本符合要求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增加课堂教学权重，引导教师将更多精力投入到课堂教学上，继续完善教师评聘考核体系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教务处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8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专职思政工作人员和党务工作者配备不低于全校师生人数的</w:t>
            </w:r>
            <w:r>
              <w:rPr>
                <w:rFonts w:ascii="仿宋" w:eastAsia="仿宋" w:hAnsi="仿宋" w:hint="eastAsia"/>
                <w:szCs w:val="21"/>
              </w:rPr>
              <w:t>1%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每个学院至少配备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名专职组织员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我院教职工</w:t>
            </w:r>
            <w:r>
              <w:rPr>
                <w:rFonts w:ascii="仿宋" w:eastAsia="仿宋" w:hAnsi="仿宋" w:hint="eastAsia"/>
                <w:szCs w:val="21"/>
              </w:rPr>
              <w:t>632</w:t>
            </w:r>
            <w:r>
              <w:rPr>
                <w:rFonts w:ascii="仿宋" w:eastAsia="仿宋" w:hAnsi="仿宋" w:hint="eastAsia"/>
                <w:szCs w:val="21"/>
              </w:rPr>
              <w:t>人，学生</w:t>
            </w:r>
            <w:r>
              <w:rPr>
                <w:rFonts w:ascii="仿宋" w:eastAsia="仿宋" w:hAnsi="仿宋" w:hint="eastAsia"/>
                <w:szCs w:val="21"/>
              </w:rPr>
              <w:t>10617</w:t>
            </w:r>
            <w:r>
              <w:rPr>
                <w:rFonts w:ascii="仿宋" w:eastAsia="仿宋" w:hAnsi="仿宋" w:hint="eastAsia"/>
                <w:szCs w:val="21"/>
              </w:rPr>
              <w:t>人，两类工作人员约</w:t>
            </w:r>
            <w:r>
              <w:rPr>
                <w:rFonts w:ascii="仿宋" w:eastAsia="仿宋" w:hAnsi="仿宋" w:hint="eastAsia"/>
                <w:szCs w:val="21"/>
              </w:rPr>
              <w:t>115</w:t>
            </w:r>
            <w:r>
              <w:rPr>
                <w:rFonts w:ascii="仿宋" w:eastAsia="仿宋" w:hAnsi="仿宋" w:hint="eastAsia"/>
                <w:szCs w:val="21"/>
              </w:rPr>
              <w:t>人，占全校师生总数的</w:t>
            </w:r>
            <w:r>
              <w:rPr>
                <w:rFonts w:ascii="仿宋" w:eastAsia="仿宋" w:hAnsi="仿宋" w:hint="eastAsia"/>
                <w:szCs w:val="21"/>
              </w:rPr>
              <w:t>1.02%</w:t>
            </w:r>
            <w:r>
              <w:rPr>
                <w:rFonts w:ascii="仿宋" w:eastAsia="仿宋" w:hAnsi="仿宋" w:hint="eastAsia"/>
                <w:szCs w:val="21"/>
              </w:rPr>
              <w:t>，符合要求；</w:t>
            </w:r>
          </w:p>
          <w:p w:rsidR="00FD03F6" w:rsidRDefault="001F0E6C">
            <w:pPr>
              <w:tabs>
                <w:tab w:val="left" w:pos="1332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未配备专职组织员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二级学院配备专职组织员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组织部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各二级学院党总支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按师生比不低于</w:t>
            </w:r>
            <w:r>
              <w:rPr>
                <w:rFonts w:ascii="仿宋" w:eastAsia="仿宋" w:hAnsi="仿宋" w:hint="eastAsia"/>
                <w:szCs w:val="21"/>
              </w:rPr>
              <w:t>1:200</w:t>
            </w:r>
            <w:r>
              <w:rPr>
                <w:rFonts w:ascii="仿宋" w:eastAsia="仿宋" w:hAnsi="仿宋" w:hint="eastAsia"/>
                <w:szCs w:val="21"/>
              </w:rPr>
              <w:t>的比例设置一线专职辅导员岗位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我院现有专职辅导员</w:t>
            </w:r>
            <w:r>
              <w:rPr>
                <w:rFonts w:ascii="仿宋" w:eastAsia="仿宋" w:hAnsi="仿宋" w:hint="eastAsia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名（含副书记），学生</w:t>
            </w:r>
            <w:r>
              <w:rPr>
                <w:rFonts w:ascii="仿宋" w:eastAsia="仿宋" w:hAnsi="仿宋" w:hint="eastAsia"/>
                <w:szCs w:val="21"/>
              </w:rPr>
              <w:t>10617</w:t>
            </w:r>
            <w:r>
              <w:rPr>
                <w:rFonts w:ascii="仿宋" w:eastAsia="仿宋" w:hAnsi="仿宋" w:hint="eastAsia"/>
                <w:szCs w:val="21"/>
              </w:rPr>
              <w:t>名，师生比</w:t>
            </w:r>
            <w:r>
              <w:rPr>
                <w:rFonts w:ascii="仿宋" w:eastAsia="仿宋" w:hAnsi="仿宋" w:hint="eastAsia"/>
                <w:szCs w:val="21"/>
              </w:rPr>
              <w:t>1:265</w:t>
            </w:r>
            <w:r>
              <w:rPr>
                <w:rFonts w:ascii="仿宋" w:eastAsia="仿宋" w:hAnsi="仿宋" w:hint="eastAsia"/>
                <w:szCs w:val="21"/>
              </w:rPr>
              <w:t>，不符合要求</w:t>
            </w:r>
          </w:p>
        </w:tc>
        <w:tc>
          <w:tcPr>
            <w:tcW w:w="2506" w:type="dxa"/>
            <w:vAlign w:val="center"/>
          </w:tcPr>
          <w:p w:rsidR="00FD03F6" w:rsidRDefault="001F0E6C" w:rsidP="005F6BDA">
            <w:pPr>
              <w:tabs>
                <w:tab w:val="left" w:pos="1332"/>
              </w:tabs>
              <w:ind w:left="108"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引进专职辅导员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按照师生比不低于</w:t>
            </w:r>
            <w:r>
              <w:rPr>
                <w:rFonts w:ascii="仿宋" w:eastAsia="仿宋" w:hAnsi="仿宋" w:hint="eastAsia"/>
                <w:szCs w:val="21"/>
              </w:rPr>
              <w:t>1:350</w:t>
            </w:r>
            <w:r>
              <w:rPr>
                <w:rFonts w:ascii="仿宋" w:eastAsia="仿宋" w:hAnsi="仿宋" w:hint="eastAsia"/>
                <w:szCs w:val="21"/>
              </w:rPr>
              <w:t>的比例设置专职思想政治理论课教师岗位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我院现有专职思政教师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名（社科部），学生</w:t>
            </w:r>
            <w:r>
              <w:rPr>
                <w:rFonts w:ascii="仿宋" w:eastAsia="仿宋" w:hAnsi="仿宋" w:hint="eastAsia"/>
                <w:szCs w:val="21"/>
              </w:rPr>
              <w:t>10617</w:t>
            </w:r>
            <w:r>
              <w:rPr>
                <w:rFonts w:ascii="仿宋" w:eastAsia="仿宋" w:hAnsi="仿宋" w:hint="eastAsia"/>
                <w:szCs w:val="21"/>
              </w:rPr>
              <w:t>名，师生比</w:t>
            </w:r>
            <w:r>
              <w:rPr>
                <w:rFonts w:ascii="仿宋" w:eastAsia="仿宋" w:hAnsi="仿宋" w:hint="eastAsia"/>
                <w:szCs w:val="21"/>
              </w:rPr>
              <w:t>1:1180</w:t>
            </w:r>
            <w:r>
              <w:rPr>
                <w:rFonts w:ascii="仿宋" w:eastAsia="仿宋" w:hAnsi="仿宋" w:hint="eastAsia"/>
                <w:szCs w:val="21"/>
              </w:rPr>
              <w:t>，且结构差，能力较弱，十分不符合要求</w:t>
            </w:r>
          </w:p>
        </w:tc>
        <w:tc>
          <w:tcPr>
            <w:tcW w:w="2506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引进和完善我院思政教师数量及结构</w:t>
            </w: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社科部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按照师生比不低于</w:t>
            </w:r>
            <w:r>
              <w:rPr>
                <w:rFonts w:ascii="仿宋" w:eastAsia="仿宋" w:hAnsi="仿宋" w:hint="eastAsia"/>
                <w:szCs w:val="21"/>
              </w:rPr>
              <w:t>1:3000</w:t>
            </w:r>
            <w:r>
              <w:rPr>
                <w:rFonts w:ascii="仿宋" w:eastAsia="仿宋" w:hAnsi="仿宋" w:hint="eastAsia"/>
                <w:szCs w:val="21"/>
              </w:rPr>
              <w:t>的比例配置专职心理咨询教师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我院现有专职心理咨询教师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名（学工、社科各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名），学生</w:t>
            </w:r>
            <w:r>
              <w:rPr>
                <w:rFonts w:ascii="仿宋" w:eastAsia="仿宋" w:hAnsi="仿宋" w:hint="eastAsia"/>
                <w:szCs w:val="21"/>
              </w:rPr>
              <w:t>10617</w:t>
            </w:r>
            <w:r>
              <w:rPr>
                <w:rFonts w:ascii="仿宋" w:eastAsia="仿宋" w:hAnsi="仿宋" w:hint="eastAsia"/>
                <w:szCs w:val="21"/>
              </w:rPr>
              <w:t>名，师生比</w:t>
            </w:r>
            <w:r>
              <w:rPr>
                <w:rFonts w:ascii="仿宋" w:eastAsia="仿宋" w:hAnsi="仿宋" w:hint="eastAsia"/>
                <w:szCs w:val="21"/>
              </w:rPr>
              <w:t>1:5309</w:t>
            </w:r>
            <w:r>
              <w:rPr>
                <w:rFonts w:ascii="仿宋" w:eastAsia="仿宋" w:hAnsi="仿宋" w:hint="eastAsia"/>
                <w:szCs w:val="21"/>
              </w:rPr>
              <w:t>，不符合要求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社科部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481" w:type="dxa"/>
            <w:vMerge w:val="restart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经费保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障</w:t>
            </w: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心理健康教育生均支出每年不低于</w:t>
            </w:r>
            <w:r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2181" w:type="dxa"/>
            <w:vAlign w:val="center"/>
          </w:tcPr>
          <w:p w:rsidR="00FD03F6" w:rsidRDefault="001F0E6C" w:rsidP="00443469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</w:t>
            </w:r>
            <w:r>
              <w:rPr>
                <w:rFonts w:ascii="仿宋" w:eastAsia="仿宋" w:hAnsi="仿宋" w:hint="eastAsia"/>
                <w:szCs w:val="21"/>
              </w:rPr>
              <w:t>不符合要求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学工处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7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思想政治理论课教师学术交流、实践研修等培训费用，按全部在校生总数每生每年不低于</w:t>
            </w: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2181" w:type="dxa"/>
            <w:vAlign w:val="center"/>
          </w:tcPr>
          <w:p w:rsidR="00FD03F6" w:rsidRDefault="001F0E6C" w:rsidP="00443469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</w:t>
            </w:r>
            <w:r>
              <w:rPr>
                <w:rFonts w:ascii="仿宋" w:eastAsia="仿宋" w:hAnsi="仿宋" w:hint="eastAsia"/>
                <w:szCs w:val="21"/>
              </w:rPr>
              <w:t>（主要是实践研修费）</w:t>
            </w:r>
            <w:r>
              <w:rPr>
                <w:rFonts w:ascii="仿宋" w:eastAsia="仿宋" w:hAnsi="仿宋" w:hint="eastAsia"/>
                <w:szCs w:val="21"/>
              </w:rPr>
              <w:t>十分不符合要求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财务处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社科部</w:t>
            </w:r>
          </w:p>
        </w:tc>
      </w:tr>
      <w:tr w:rsidR="00F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481" w:type="dxa"/>
            <w:vMerge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提高思想政治理论课教师待遇，确保教师收入不低于本校教师平均水平</w:t>
            </w:r>
          </w:p>
        </w:tc>
        <w:tc>
          <w:tcPr>
            <w:tcW w:w="2181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我院思政教师不低于平均水平，符合要求</w:t>
            </w:r>
          </w:p>
        </w:tc>
        <w:tc>
          <w:tcPr>
            <w:tcW w:w="2506" w:type="dxa"/>
            <w:vAlign w:val="center"/>
          </w:tcPr>
          <w:p w:rsidR="00FD03F6" w:rsidRDefault="00FD03F6" w:rsidP="005F6BDA">
            <w:pPr>
              <w:tabs>
                <w:tab w:val="left" w:pos="1332"/>
              </w:tabs>
              <w:ind w:left="108"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人事处</w:t>
            </w:r>
          </w:p>
          <w:p w:rsidR="00FD03F6" w:rsidRDefault="001F0E6C">
            <w:pPr>
              <w:tabs>
                <w:tab w:val="left" w:pos="1332"/>
              </w:tabs>
              <w:ind w:left="108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社科部</w:t>
            </w:r>
          </w:p>
        </w:tc>
      </w:tr>
    </w:tbl>
    <w:p w:rsidR="00FD03F6" w:rsidRDefault="001F0E6C" w:rsidP="00FD03F6">
      <w:pPr>
        <w:ind w:firstLineChars="200" w:firstLine="600"/>
        <w:jc w:val="left"/>
        <w:rPr>
          <w:rFonts w:asciiTheme="minorEastAsia" w:hAnsiTheme="minorEastAsia" w:cs="Times New Roman"/>
          <w:color w:val="444444"/>
          <w:kern w:val="0"/>
          <w:sz w:val="30"/>
          <w:szCs w:val="30"/>
        </w:rPr>
      </w:pPr>
      <w:r>
        <w:rPr>
          <w:rFonts w:asciiTheme="minorEastAsia" w:hAnsiTheme="minorEastAsia" w:cs="Times New Roman" w:hint="eastAsia"/>
          <w:color w:val="444444"/>
          <w:kern w:val="0"/>
          <w:sz w:val="30"/>
          <w:szCs w:val="30"/>
        </w:rPr>
        <w:t>宣传部将在</w:t>
      </w:r>
      <w:r>
        <w:rPr>
          <w:rFonts w:asciiTheme="minorEastAsia" w:hAnsiTheme="minorEastAsia" w:cs="Times New Roman" w:hint="eastAsia"/>
          <w:color w:val="444444"/>
          <w:kern w:val="0"/>
          <w:sz w:val="30"/>
          <w:szCs w:val="30"/>
        </w:rPr>
        <w:t>1</w:t>
      </w:r>
      <w:r>
        <w:rPr>
          <w:rFonts w:asciiTheme="minorEastAsia" w:hAnsiTheme="minorEastAsia" w:cs="Times New Roman" w:hint="eastAsia"/>
          <w:color w:val="444444"/>
          <w:kern w:val="0"/>
          <w:sz w:val="30"/>
          <w:szCs w:val="30"/>
        </w:rPr>
        <w:t>个月内汇总各方意见，形成加强与改进学院思想政治工作意见。</w:t>
      </w:r>
      <w:bookmarkStart w:id="0" w:name="_GoBack"/>
      <w:bookmarkEnd w:id="0"/>
    </w:p>
    <w:sectPr w:rsidR="00FD03F6" w:rsidSect="00FD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6C" w:rsidRDefault="001F0E6C" w:rsidP="005F6BDA">
      <w:r>
        <w:separator/>
      </w:r>
    </w:p>
  </w:endnote>
  <w:endnote w:type="continuationSeparator" w:id="1">
    <w:p w:rsidR="001F0E6C" w:rsidRDefault="001F0E6C" w:rsidP="005F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6C" w:rsidRDefault="001F0E6C" w:rsidP="005F6BDA">
      <w:r>
        <w:separator/>
      </w:r>
    </w:p>
  </w:footnote>
  <w:footnote w:type="continuationSeparator" w:id="1">
    <w:p w:rsidR="001F0E6C" w:rsidRDefault="001F0E6C" w:rsidP="005F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579E"/>
    <w:multiLevelType w:val="singleLevel"/>
    <w:tmpl w:val="58E4579E"/>
    <w:lvl w:ilvl="0">
      <w:start w:val="3"/>
      <w:numFmt w:val="decimal"/>
      <w:suff w:val="nothing"/>
      <w:lvlText w:val="(%1)"/>
      <w:lvlJc w:val="left"/>
    </w:lvl>
  </w:abstractNum>
  <w:abstractNum w:abstractNumId="1">
    <w:nsid w:val="58E457DC"/>
    <w:multiLevelType w:val="singleLevel"/>
    <w:tmpl w:val="58E457D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DE4"/>
    <w:rsid w:val="00007AFC"/>
    <w:rsid w:val="00013BAF"/>
    <w:rsid w:val="00034647"/>
    <w:rsid w:val="000346E5"/>
    <w:rsid w:val="000348D8"/>
    <w:rsid w:val="00035238"/>
    <w:rsid w:val="00046E2F"/>
    <w:rsid w:val="00066A81"/>
    <w:rsid w:val="000733E9"/>
    <w:rsid w:val="00080F66"/>
    <w:rsid w:val="00084258"/>
    <w:rsid w:val="00085DE4"/>
    <w:rsid w:val="000B0038"/>
    <w:rsid w:val="000C5B9D"/>
    <w:rsid w:val="000D6A94"/>
    <w:rsid w:val="000F0C2F"/>
    <w:rsid w:val="000F29DE"/>
    <w:rsid w:val="000F6439"/>
    <w:rsid w:val="0011345D"/>
    <w:rsid w:val="00134DAF"/>
    <w:rsid w:val="001432E9"/>
    <w:rsid w:val="00157C54"/>
    <w:rsid w:val="001730AE"/>
    <w:rsid w:val="00177C2D"/>
    <w:rsid w:val="00191CB2"/>
    <w:rsid w:val="001964BA"/>
    <w:rsid w:val="001C2FE8"/>
    <w:rsid w:val="001C7186"/>
    <w:rsid w:val="001D0FB4"/>
    <w:rsid w:val="001F0E6C"/>
    <w:rsid w:val="0020376B"/>
    <w:rsid w:val="00214616"/>
    <w:rsid w:val="00222B1A"/>
    <w:rsid w:val="002575EF"/>
    <w:rsid w:val="00260ADC"/>
    <w:rsid w:val="0026159D"/>
    <w:rsid w:val="002A408D"/>
    <w:rsid w:val="002F7E74"/>
    <w:rsid w:val="00324AF3"/>
    <w:rsid w:val="00354BA2"/>
    <w:rsid w:val="003741CF"/>
    <w:rsid w:val="00380D44"/>
    <w:rsid w:val="0038331E"/>
    <w:rsid w:val="003C37CD"/>
    <w:rsid w:val="003C7DD7"/>
    <w:rsid w:val="003D2CDF"/>
    <w:rsid w:val="003D3EE3"/>
    <w:rsid w:val="003D4722"/>
    <w:rsid w:val="00411689"/>
    <w:rsid w:val="0043251A"/>
    <w:rsid w:val="0043278C"/>
    <w:rsid w:val="00443469"/>
    <w:rsid w:val="004C22D2"/>
    <w:rsid w:val="004F1897"/>
    <w:rsid w:val="004F4575"/>
    <w:rsid w:val="00540E23"/>
    <w:rsid w:val="0057056F"/>
    <w:rsid w:val="00582DEE"/>
    <w:rsid w:val="005919D3"/>
    <w:rsid w:val="005A7F30"/>
    <w:rsid w:val="005E0622"/>
    <w:rsid w:val="005F0642"/>
    <w:rsid w:val="005F6BDA"/>
    <w:rsid w:val="006110AB"/>
    <w:rsid w:val="00613C61"/>
    <w:rsid w:val="00615B39"/>
    <w:rsid w:val="0062165B"/>
    <w:rsid w:val="00625AD0"/>
    <w:rsid w:val="00632173"/>
    <w:rsid w:val="006A008D"/>
    <w:rsid w:val="006A2E8B"/>
    <w:rsid w:val="006B48BE"/>
    <w:rsid w:val="006C3CAD"/>
    <w:rsid w:val="006D282A"/>
    <w:rsid w:val="006D337B"/>
    <w:rsid w:val="006F1678"/>
    <w:rsid w:val="006F7177"/>
    <w:rsid w:val="00725486"/>
    <w:rsid w:val="00726AB9"/>
    <w:rsid w:val="00732131"/>
    <w:rsid w:val="00770762"/>
    <w:rsid w:val="007815A5"/>
    <w:rsid w:val="007A69D0"/>
    <w:rsid w:val="007C30B1"/>
    <w:rsid w:val="007D3D6C"/>
    <w:rsid w:val="007D4AEA"/>
    <w:rsid w:val="008253D3"/>
    <w:rsid w:val="00830517"/>
    <w:rsid w:val="00843634"/>
    <w:rsid w:val="00843B06"/>
    <w:rsid w:val="00857EF7"/>
    <w:rsid w:val="00876128"/>
    <w:rsid w:val="00877F8B"/>
    <w:rsid w:val="00882D5F"/>
    <w:rsid w:val="008E0943"/>
    <w:rsid w:val="008E3159"/>
    <w:rsid w:val="008F747D"/>
    <w:rsid w:val="009159B9"/>
    <w:rsid w:val="00925F35"/>
    <w:rsid w:val="0095044D"/>
    <w:rsid w:val="00952127"/>
    <w:rsid w:val="00956E3C"/>
    <w:rsid w:val="009C3199"/>
    <w:rsid w:val="009D55F2"/>
    <w:rsid w:val="00A006F0"/>
    <w:rsid w:val="00A029A8"/>
    <w:rsid w:val="00A0377F"/>
    <w:rsid w:val="00A24FB5"/>
    <w:rsid w:val="00A34998"/>
    <w:rsid w:val="00A379DC"/>
    <w:rsid w:val="00A57FC4"/>
    <w:rsid w:val="00A8701F"/>
    <w:rsid w:val="00A96220"/>
    <w:rsid w:val="00AA384F"/>
    <w:rsid w:val="00AB1B79"/>
    <w:rsid w:val="00AD66B4"/>
    <w:rsid w:val="00B055C9"/>
    <w:rsid w:val="00B1322A"/>
    <w:rsid w:val="00B20655"/>
    <w:rsid w:val="00B30F54"/>
    <w:rsid w:val="00B33F64"/>
    <w:rsid w:val="00B37669"/>
    <w:rsid w:val="00B46897"/>
    <w:rsid w:val="00B87F02"/>
    <w:rsid w:val="00B9330B"/>
    <w:rsid w:val="00BA5260"/>
    <w:rsid w:val="00BC18B2"/>
    <w:rsid w:val="00C13079"/>
    <w:rsid w:val="00C2520F"/>
    <w:rsid w:val="00C33AF9"/>
    <w:rsid w:val="00C42975"/>
    <w:rsid w:val="00C610D5"/>
    <w:rsid w:val="00C62B23"/>
    <w:rsid w:val="00C747C9"/>
    <w:rsid w:val="00C75768"/>
    <w:rsid w:val="00C92448"/>
    <w:rsid w:val="00C92450"/>
    <w:rsid w:val="00CA28CA"/>
    <w:rsid w:val="00CC6611"/>
    <w:rsid w:val="00CE676F"/>
    <w:rsid w:val="00CE6C0B"/>
    <w:rsid w:val="00D009E3"/>
    <w:rsid w:val="00D11E53"/>
    <w:rsid w:val="00D520FA"/>
    <w:rsid w:val="00D66286"/>
    <w:rsid w:val="00D667A7"/>
    <w:rsid w:val="00D8648B"/>
    <w:rsid w:val="00DA005F"/>
    <w:rsid w:val="00DA7029"/>
    <w:rsid w:val="00E007F2"/>
    <w:rsid w:val="00E26BB5"/>
    <w:rsid w:val="00E27635"/>
    <w:rsid w:val="00E27D8C"/>
    <w:rsid w:val="00E54142"/>
    <w:rsid w:val="00E65D4E"/>
    <w:rsid w:val="00E96656"/>
    <w:rsid w:val="00EA73CB"/>
    <w:rsid w:val="00EB36EB"/>
    <w:rsid w:val="00EB491A"/>
    <w:rsid w:val="00EC42B4"/>
    <w:rsid w:val="00EC6BE1"/>
    <w:rsid w:val="00EE245A"/>
    <w:rsid w:val="00EE2F68"/>
    <w:rsid w:val="00EF12E4"/>
    <w:rsid w:val="00F0087D"/>
    <w:rsid w:val="00F01155"/>
    <w:rsid w:val="00F02199"/>
    <w:rsid w:val="00F03A26"/>
    <w:rsid w:val="00F63876"/>
    <w:rsid w:val="00F700E0"/>
    <w:rsid w:val="00F84877"/>
    <w:rsid w:val="00FA405D"/>
    <w:rsid w:val="00FA7DE5"/>
    <w:rsid w:val="00FD03F6"/>
    <w:rsid w:val="00FE44C8"/>
    <w:rsid w:val="00FE4866"/>
    <w:rsid w:val="07173559"/>
    <w:rsid w:val="0A3B5C0C"/>
    <w:rsid w:val="110A68AE"/>
    <w:rsid w:val="1822280D"/>
    <w:rsid w:val="1A347397"/>
    <w:rsid w:val="2C262B5E"/>
    <w:rsid w:val="2F337F3D"/>
    <w:rsid w:val="34443FC3"/>
    <w:rsid w:val="373700CD"/>
    <w:rsid w:val="39F142A9"/>
    <w:rsid w:val="3B202E4E"/>
    <w:rsid w:val="475A6CAD"/>
    <w:rsid w:val="4C725FA6"/>
    <w:rsid w:val="640F0F50"/>
    <w:rsid w:val="64127135"/>
    <w:rsid w:val="6908261F"/>
    <w:rsid w:val="7DDB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0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D0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D0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FD03F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D03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0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8000000762_刘鹏</dc:creator>
  <cp:lastModifiedBy>8000000762_刘鹏</cp:lastModifiedBy>
  <cp:revision>29</cp:revision>
  <dcterms:created xsi:type="dcterms:W3CDTF">2017-04-01T06:06:00Z</dcterms:created>
  <dcterms:modified xsi:type="dcterms:W3CDTF">2017-04-05T07:13:00Z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