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2345" w14:textId="77777777" w:rsidR="00D71F2C" w:rsidRPr="00D71F2C" w:rsidRDefault="00D24550" w:rsidP="004C7137">
      <w:pPr>
        <w:widowControl/>
        <w:spacing w:line="480" w:lineRule="atLeast"/>
        <w:jc w:val="center"/>
        <w:rPr>
          <w:rFonts w:ascii="仿宋_GB2312" w:eastAsia="仿宋_GB2312" w:hAnsi="微软雅黑" w:cs="宋体"/>
          <w:b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“</w:t>
      </w:r>
      <w:r w:rsidR="002E1F69" w:rsidRPr="00ED1D94"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青创工程</w:t>
      </w:r>
      <w:r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”</w:t>
      </w:r>
      <w:r w:rsidR="00E136D6"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大学生</w:t>
      </w:r>
      <w:r w:rsidR="00D71F2C" w:rsidRPr="00D71F2C"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创业</w:t>
      </w:r>
      <w:r w:rsidR="00E136D6"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园</w:t>
      </w:r>
      <w:r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项目</w:t>
      </w:r>
      <w:r w:rsidR="00D71F2C" w:rsidRPr="00D71F2C">
        <w:rPr>
          <w:rFonts w:ascii="仿宋_GB2312" w:eastAsia="仿宋_GB2312" w:hAnsi="微软雅黑" w:cs="宋体" w:hint="eastAsia"/>
          <w:b/>
          <w:color w:val="494949"/>
          <w:kern w:val="0"/>
          <w:sz w:val="32"/>
          <w:szCs w:val="32"/>
        </w:rPr>
        <w:t>考核管理规定</w:t>
      </w:r>
    </w:p>
    <w:p w14:paraId="76C8B6E6" w14:textId="77777777" w:rsidR="00D71F2C" w:rsidRPr="00D71F2C" w:rsidRDefault="002B6115" w:rsidP="00ED1D94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为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进一步指导和推动</w:t>
      </w:r>
      <w:r w:rsidR="00454AB5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“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青创工程</w:t>
      </w:r>
      <w:r w:rsidR="00454AB5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”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大学生创业</w:t>
      </w:r>
      <w:r w:rsidR="004557B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园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健康可持续发展，营造良好的创新创业环境，激发团队创新创业活力，培育更多更好的创新创业成果，结合《</w:t>
      </w:r>
      <w:r w:rsidR="00454AB5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常州工程职业技术学院“青创工程”大学生创新创业实践基地管理办法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》与</w:t>
      </w:r>
      <w:r w:rsidR="00454AB5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基地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入驻团队的实际情况，</w:t>
      </w:r>
      <w:r w:rsidR="00454AB5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特</w:t>
      </w:r>
      <w:r w:rsidR="00F1709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制定此项办法。</w:t>
      </w:r>
      <w:r w:rsidR="00D71F2C" w:rsidRPr="00D71F2C"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    </w:t>
      </w:r>
    </w:p>
    <w:p w14:paraId="0D1D958A" w14:textId="77777777" w:rsidR="00A56BB0" w:rsidRPr="00ED1D94" w:rsidRDefault="00A56BB0" w:rsidP="00ED1D94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一、考核对象</w:t>
      </w:r>
    </w:p>
    <w:p w14:paraId="42FE7C9D" w14:textId="77777777" w:rsidR="00A56BB0" w:rsidRPr="00ED1D94" w:rsidRDefault="00A56BB0" w:rsidP="00ED1D94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“青创工程”</w:t>
      </w:r>
      <w:r w:rsidR="004557B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大学生创业园</w:t>
      </w: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入驻</w:t>
      </w:r>
      <w:r w:rsidR="0047210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企业</w:t>
      </w: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和</w:t>
      </w:r>
      <w:r w:rsidR="0047210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项目</w:t>
      </w: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团队</w:t>
      </w:r>
      <w:r w:rsidR="0047210B"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。</w:t>
      </w:r>
    </w:p>
    <w:p w14:paraId="37FF76B1" w14:textId="77777777" w:rsidR="00716FE4" w:rsidRPr="00ED1D94" w:rsidRDefault="0047210B" w:rsidP="00ED1D94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二、考核内容</w:t>
      </w:r>
    </w:p>
    <w:p w14:paraId="5E792E1B" w14:textId="03FB5DA3" w:rsidR="00ED1D94" w:rsidRPr="00ED1D94" w:rsidRDefault="00ED1D94" w:rsidP="00ED1D94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考核内容分为</w:t>
      </w:r>
      <w:r w:rsidR="004C7137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日常考核、学期考核、</w:t>
      </w: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创赛参与度、</w:t>
      </w:r>
      <w:r w:rsidR="004C7137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活动参与度等</w:t>
      </w:r>
      <w:r w:rsidRPr="00ED1D94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四项。具体如下：</w:t>
      </w:r>
    </w:p>
    <w:p w14:paraId="3D375AB7" w14:textId="25E7C467" w:rsidR="004C7137" w:rsidRPr="004A5B86" w:rsidRDefault="004C7137" w:rsidP="004C7137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1.</w:t>
      </w: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日常考核</w:t>
      </w:r>
    </w:p>
    <w:p w14:paraId="0F9FEF08" w14:textId="65378F3D" w:rsidR="004C7137" w:rsidRPr="004A5B86" w:rsidRDefault="004C7137" w:rsidP="004C7137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根据基地管理服务中心</w:t>
      </w:r>
      <w:r w:rsidRPr="004A5B86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日常检查为依据，主要涉及工时、安全管理、工位整洁及公共资源维护等方面。</w:t>
      </w:r>
    </w:p>
    <w:p w14:paraId="69683FB0" w14:textId="4053FD33" w:rsidR="004C7137" w:rsidRDefault="004C7137" w:rsidP="00DF4E32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2</w:t>
      </w: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学期末考核</w:t>
      </w:r>
    </w:p>
    <w:p w14:paraId="712575E6" w14:textId="66AD6B74" w:rsidR="004C7137" w:rsidRDefault="004C7137" w:rsidP="00DF4E32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每学期末组织开展学期考核，根据各项目所提交的考核材料和路演汇报进行评分。</w:t>
      </w:r>
    </w:p>
    <w:p w14:paraId="70C9964E" w14:textId="18D81ED8" w:rsidR="004C7137" w:rsidRDefault="004C7137" w:rsidP="00DF4E32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.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活动参与度</w:t>
      </w:r>
    </w:p>
    <w:p w14:paraId="1FDC42C6" w14:textId="77777777" w:rsidR="004C7137" w:rsidRDefault="004C7137" w:rsidP="004C7137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按时参加创新创业学院组织的</w:t>
      </w:r>
      <w:r w:rsidR="00DF4E32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例会和</w:t>
      </w:r>
      <w:r w:rsidR="00DF4E32" w:rsidRPr="00DF4E32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活动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，</w:t>
      </w:r>
      <w:r w:rsidR="00DF4E32" w:rsidRPr="00DF4E32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活动内容及形式包含</w:t>
      </w:r>
      <w:r w:rsidR="006E183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创业</w:t>
      </w:r>
      <w:r w:rsidR="004557B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园</w:t>
      </w:r>
      <w:r w:rsidR="006E183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每月例会</w:t>
      </w:r>
      <w:r w:rsidR="00DF4E32" w:rsidRPr="00DF4E32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、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青创讲堂、青创沙龙、</w:t>
      </w:r>
      <w:r w:rsidR="00DF4E32" w:rsidRPr="00DF4E32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创新创业赛事发布会等。</w:t>
      </w:r>
    </w:p>
    <w:p w14:paraId="0CF886EA" w14:textId="26C84877" w:rsidR="006E1833" w:rsidRPr="004C7137" w:rsidRDefault="004C7137" w:rsidP="004C7137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.</w:t>
      </w:r>
      <w:r w:rsidR="006E1833" w:rsidRPr="006E183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创赛参与度</w:t>
      </w:r>
    </w:p>
    <w:p w14:paraId="355C7D20" w14:textId="0C927B2E" w:rsidR="006E1833" w:rsidRDefault="006E1833" w:rsidP="006E1833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6E183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lastRenderedPageBreak/>
        <w:t>创赛参与度指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入驻企业和项目</w:t>
      </w:r>
      <w:r w:rsidRPr="006E183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团队报名参加我校认可的各项大学生创新创业相关赛事</w:t>
      </w:r>
      <w:r w:rsidR="004C7137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以及获奖情况等</w:t>
      </w:r>
      <w:r w:rsidRPr="006E183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。</w:t>
      </w:r>
    </w:p>
    <w:p w14:paraId="41F59CC2" w14:textId="06272E0B" w:rsidR="00466AAF" w:rsidRPr="004A5B86" w:rsidRDefault="00466AAF" w:rsidP="00466AAF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三、</w:t>
      </w:r>
      <w:r w:rsidRPr="004A5B86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考核分数核算</w:t>
      </w:r>
    </w:p>
    <w:p w14:paraId="068B94DF" w14:textId="3340942C" w:rsidR="00466AAF" w:rsidRPr="007B4E83" w:rsidRDefault="00466AAF" w:rsidP="00466AAF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94949"/>
          <w:kern w:val="0"/>
          <w:sz w:val="24"/>
          <w:szCs w:val="24"/>
        </w:rPr>
      </w:pP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1.</w:t>
      </w:r>
      <w:r w:rsidRPr="007B4E8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考核时间以每一学期为一个考核周期。</w:t>
      </w:r>
    </w:p>
    <w:p w14:paraId="33DAF30C" w14:textId="33AF4521" w:rsidR="00466AAF" w:rsidRPr="007B4E83" w:rsidRDefault="00466AAF" w:rsidP="00466AAF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2.</w:t>
      </w:r>
      <w:r w:rsidRPr="007B4E8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每学期末结算总分，分数组成分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四</w:t>
      </w:r>
      <w:r w:rsidRPr="007B4E8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项考核内容所对应的板块分别计分，各块内容计分不超过对应板块分值上限。</w:t>
      </w:r>
    </w:p>
    <w:p w14:paraId="06685C53" w14:textId="634CB0AA" w:rsidR="00466AAF" w:rsidRDefault="00466AAF" w:rsidP="00466AAF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3.</w:t>
      </w:r>
      <w:r w:rsidRPr="007B4E8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考核分数具体核算方法：每学期末得分=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四</w:t>
      </w:r>
      <w:r w:rsidRPr="007B4E8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项考核内容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分数总和</w:t>
      </w:r>
      <w:r w:rsidRPr="007B4E83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（附件）。</w:t>
      </w:r>
    </w:p>
    <w:p w14:paraId="5152750F" w14:textId="5E8D3287" w:rsidR="00466AAF" w:rsidRDefault="00466AAF" w:rsidP="00466AAF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四、考核结果应用</w:t>
      </w:r>
    </w:p>
    <w:p w14:paraId="3917506A" w14:textId="77777777" w:rsidR="00466AAF" w:rsidRDefault="00466AAF" w:rsidP="00466AAF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1</w:t>
      </w:r>
      <w:r w:rsidRPr="00466AAF"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.</w:t>
      </w: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考核结果为优秀的，推荐参评省市优项目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评选</w:t>
      </w: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。考核合格及以上等次的可以继续留驻开展创业实践，不合格的项目将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予以清退</w:t>
      </w: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。</w:t>
      </w:r>
    </w:p>
    <w:p w14:paraId="02E6CCA6" w14:textId="77777777" w:rsidR="00466AAF" w:rsidRDefault="00466AAF" w:rsidP="00466AAF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2.</w:t>
      </w: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考核合格的项目经过公示无异议后，作为续签入驻协议的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重要</w:t>
      </w: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依据。</w:t>
      </w:r>
    </w:p>
    <w:p w14:paraId="1D0BDE43" w14:textId="29C0593E" w:rsidR="004A5B86" w:rsidRPr="00466AAF" w:rsidRDefault="00466AAF" w:rsidP="00466AAF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3</w:t>
      </w:r>
      <w:r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.</w:t>
      </w:r>
      <w:r w:rsidR="004A5B86"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在考核中出现下列情况之一者，视为考核不合格：</w:t>
      </w:r>
    </w:p>
    <w:p w14:paraId="6B5A6011" w14:textId="01EEBF49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1）</w:t>
      </w:r>
      <w:r w:rsidR="00466AAF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项目</w:t>
      </w: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入驻后，未按要求开展工作，业务开展处于停顿状态，致使团队办公室经常处于空闲或关闭状态者；</w:t>
      </w:r>
    </w:p>
    <w:p w14:paraId="05246111" w14:textId="1A3356D4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2）未能按时向</w:t>
      </w:r>
      <w:r w:rsidR="004C7137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创新创业学院</w:t>
      </w: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上报相关材料，或所报材料内容不真实，通过整改无效者；</w:t>
      </w:r>
    </w:p>
    <w:p w14:paraId="5FAC8A70" w14:textId="3EBFA74F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3）</w:t>
      </w:r>
      <w:r w:rsidR="00466AAF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项目</w:t>
      </w: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出现重大安全事故者；</w:t>
      </w:r>
    </w:p>
    <w:p w14:paraId="7947CC8A" w14:textId="77777777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lastRenderedPageBreak/>
        <w:t>4）主要负责人违犯法律或校纪校规受到留校察看以上处分者；</w:t>
      </w:r>
    </w:p>
    <w:p w14:paraId="527ED2E0" w14:textId="77777777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5）超出业务规定范围，从事与申报经营内容无关的活动；</w:t>
      </w:r>
    </w:p>
    <w:p w14:paraId="666CC83E" w14:textId="77777777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6）不按规定时间缴纳应缴费用者；</w:t>
      </w:r>
    </w:p>
    <w:p w14:paraId="764AEFCD" w14:textId="77777777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7）私自转租、分包场地或更换项目负责人的；</w:t>
      </w:r>
    </w:p>
    <w:p w14:paraId="33DE8049" w14:textId="77777777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8）无故不参加学期考核的；</w:t>
      </w:r>
    </w:p>
    <w:p w14:paraId="79EC5140" w14:textId="77777777" w:rsidR="004A5B86" w:rsidRPr="004A5B86" w:rsidRDefault="004A5B86" w:rsidP="004A5B86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9）因安全、卫生问题，受到2次（含3次）以上警告者。</w:t>
      </w:r>
    </w:p>
    <w:p w14:paraId="79F5F131" w14:textId="2E9A174D" w:rsidR="004A5B86" w:rsidRPr="004A5B86" w:rsidRDefault="00466AAF" w:rsidP="00466AAF">
      <w:pPr>
        <w:widowControl/>
        <w:spacing w:line="480" w:lineRule="atLeast"/>
        <w:ind w:firstLineChars="200" w:firstLine="640"/>
        <w:jc w:val="left"/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4</w:t>
      </w:r>
      <w:r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.</w:t>
      </w:r>
      <w:r w:rsidR="004A5B86" w:rsidRPr="004A5B86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对考核不合格的</w:t>
      </w:r>
      <w:r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项目</w:t>
      </w:r>
      <w:r w:rsidR="004A5B86" w:rsidRPr="004A5B86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由创新创业学院发出《退出通知书》。</w:t>
      </w:r>
      <w:r w:rsidR="004A5B86" w:rsidRPr="004A5B86">
        <w:rPr>
          <w:rFonts w:ascii="仿宋_GB2312" w:eastAsia="仿宋_GB2312" w:hAnsi="微软雅黑" w:cs="宋体" w:hint="eastAsia"/>
          <w:bCs/>
          <w:color w:val="494949"/>
          <w:kern w:val="0"/>
          <w:sz w:val="32"/>
          <w:szCs w:val="32"/>
        </w:rPr>
        <w:t>入驻项目在收到《退出通知书》后的</w:t>
      </w:r>
      <w:r w:rsidR="004A5B86" w:rsidRPr="004A5B86">
        <w:rPr>
          <w:rFonts w:ascii="仿宋_GB2312" w:eastAsia="仿宋_GB2312" w:hAnsi="微软雅黑" w:cs="宋体"/>
          <w:bCs/>
          <w:color w:val="494949"/>
          <w:kern w:val="0"/>
          <w:sz w:val="32"/>
          <w:szCs w:val="32"/>
        </w:rPr>
        <w:t>15日内，须结清应缴费用、撤出设备、清理场地，将所使用场所钥匙及学校提供的设备退还。逾期不退出者，创新创业学院将会同学校有关部门予以清退。</w:t>
      </w:r>
    </w:p>
    <w:p w14:paraId="43A07D43" w14:textId="14D0A1D1" w:rsidR="009E4BC0" w:rsidRPr="00466AAF" w:rsidRDefault="00466AAF" w:rsidP="009E4BC0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五</w:t>
      </w:r>
      <w:r w:rsidR="009E4BC0" w:rsidRPr="00466AAF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、附则</w:t>
      </w:r>
    </w:p>
    <w:p w14:paraId="7EF25844" w14:textId="77777777" w:rsidR="008E4DB3" w:rsidRPr="008E4DB3" w:rsidRDefault="009E4BC0" w:rsidP="008E4DB3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b/>
          <w:bCs/>
          <w:color w:val="494949"/>
          <w:kern w:val="0"/>
          <w:sz w:val="32"/>
          <w:szCs w:val="32"/>
        </w:rPr>
      </w:pPr>
      <w:r w:rsidRPr="009E4BC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本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考核</w:t>
      </w:r>
      <w:r w:rsidRPr="009E4BC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办法自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发布</w:t>
      </w:r>
      <w:r w:rsidRPr="009E4BC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之日起执行，由</w:t>
      </w:r>
      <w:r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创新创业学院</w:t>
      </w:r>
      <w:r w:rsidRPr="009E4BC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负责解释。</w:t>
      </w:r>
      <w:r w:rsidR="008E4DB3" w:rsidRPr="009E4BC0">
        <w:rPr>
          <w:rFonts w:ascii="微软雅黑" w:eastAsia="微软雅黑" w:hAnsi="微软雅黑"/>
          <w:sz w:val="18"/>
        </w:rPr>
        <w:fldChar w:fldCharType="begin"/>
      </w:r>
      <w:r w:rsidR="008E4DB3" w:rsidRPr="009E4BC0">
        <w:rPr>
          <w:rFonts w:ascii="微软雅黑" w:eastAsia="微软雅黑" w:hAnsi="微软雅黑"/>
          <w:sz w:val="18"/>
        </w:rPr>
        <w:instrText xml:space="preserve"> LINK </w:instrText>
      </w:r>
      <w:r w:rsidR="008E4DB3">
        <w:rPr>
          <w:rFonts w:ascii="微软雅黑" w:eastAsia="微软雅黑" w:hAnsi="微软雅黑"/>
          <w:sz w:val="18"/>
        </w:rPr>
        <w:instrText xml:space="preserve">Excel.Sheet.12 "C:\\Users\\mao\\Desktop\\新建 Microsoft Excel 工作表.xlsx" Sheet1!R4C3:R25C6 </w:instrText>
      </w:r>
      <w:r w:rsidR="008E4DB3" w:rsidRPr="009E4BC0">
        <w:rPr>
          <w:rFonts w:ascii="微软雅黑" w:eastAsia="微软雅黑" w:hAnsi="微软雅黑"/>
          <w:sz w:val="18"/>
        </w:rPr>
        <w:instrText xml:space="preserve">\a \f 4 \h  \* MERGEFORMAT </w:instrText>
      </w:r>
      <w:r w:rsidR="008E4DB3" w:rsidRPr="009E4BC0">
        <w:rPr>
          <w:rFonts w:ascii="微软雅黑" w:eastAsia="微软雅黑" w:hAnsi="微软雅黑"/>
          <w:sz w:val="18"/>
        </w:rPr>
        <w:fldChar w:fldCharType="separate"/>
      </w:r>
    </w:p>
    <w:p w14:paraId="52BE3BB0" w14:textId="77777777" w:rsidR="00466AAF" w:rsidRDefault="008E4DB3" w:rsidP="004C7137">
      <w:pPr>
        <w:widowControl/>
        <w:spacing w:line="480" w:lineRule="atLeast"/>
        <w:jc w:val="righ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9E4BC0">
        <w:rPr>
          <w:rFonts w:ascii="微软雅黑" w:eastAsia="微软雅黑" w:hAnsi="微软雅黑" w:cs="宋体"/>
          <w:b/>
          <w:bCs/>
          <w:kern w:val="0"/>
          <w:sz w:val="32"/>
        </w:rPr>
        <w:fldChar w:fldCharType="end"/>
      </w:r>
      <w:r w:rsidR="003E3340" w:rsidRPr="003E334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创新创业学院</w:t>
      </w:r>
    </w:p>
    <w:p w14:paraId="211553F6" w14:textId="77777777" w:rsidR="003E3340" w:rsidRDefault="003E3340" w:rsidP="003E3340">
      <w:pPr>
        <w:widowControl/>
        <w:spacing w:line="480" w:lineRule="atLeast"/>
        <w:jc w:val="righ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3E334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2</w:t>
      </w:r>
      <w:r w:rsidRPr="003E3340">
        <w:rPr>
          <w:rFonts w:ascii="仿宋_GB2312" w:eastAsia="仿宋_GB2312" w:hAnsi="微软雅黑" w:cs="宋体"/>
          <w:color w:val="494949"/>
          <w:kern w:val="0"/>
          <w:sz w:val="32"/>
          <w:szCs w:val="32"/>
        </w:rPr>
        <w:t>021</w:t>
      </w:r>
      <w:r w:rsidRPr="003E3340">
        <w:rPr>
          <w:rFonts w:ascii="仿宋_GB2312" w:eastAsia="仿宋_GB2312" w:hAnsi="微软雅黑" w:cs="宋体" w:hint="eastAsia"/>
          <w:color w:val="494949"/>
          <w:kern w:val="0"/>
          <w:sz w:val="32"/>
          <w:szCs w:val="32"/>
        </w:rPr>
        <w:t>年8月</w:t>
      </w:r>
    </w:p>
    <w:p w14:paraId="4A42CB40" w14:textId="77777777" w:rsidR="003E3340" w:rsidRPr="003E3340" w:rsidRDefault="003E3340" w:rsidP="003E3340">
      <w:pPr>
        <w:widowControl/>
        <w:spacing w:line="480" w:lineRule="atLeast"/>
        <w:jc w:val="righ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</w:p>
    <w:p w14:paraId="39474668" w14:textId="77777777" w:rsidR="00466AAF" w:rsidRDefault="00466AAF" w:rsidP="008E4DB3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</w:p>
    <w:p w14:paraId="7AF67834" w14:textId="77777777" w:rsidR="00466AAF" w:rsidRDefault="00466AAF" w:rsidP="008E4DB3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</w:p>
    <w:p w14:paraId="7F7C29A4" w14:textId="1247FF8D" w:rsidR="008E4DB3" w:rsidRPr="009E4BC0" w:rsidRDefault="008E4DB3" w:rsidP="00AA6D4E">
      <w:pPr>
        <w:widowControl/>
        <w:contextualSpacing/>
        <w:mirrorIndents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  <w:r w:rsidRPr="009E4BC0">
        <w:rPr>
          <w:rFonts w:ascii="微软雅黑" w:eastAsia="微软雅黑" w:hAnsi="微软雅黑" w:cs="宋体" w:hint="eastAsia"/>
          <w:b/>
          <w:bCs/>
          <w:kern w:val="0"/>
          <w:sz w:val="24"/>
        </w:rPr>
        <w:lastRenderedPageBreak/>
        <w:t>附件：“青创工程”大学生创业</w:t>
      </w:r>
      <w:r>
        <w:rPr>
          <w:rFonts w:ascii="微软雅黑" w:eastAsia="微软雅黑" w:hAnsi="微软雅黑" w:cs="宋体" w:hint="eastAsia"/>
          <w:b/>
          <w:bCs/>
          <w:kern w:val="0"/>
          <w:sz w:val="24"/>
        </w:rPr>
        <w:t>园</w:t>
      </w:r>
      <w:r w:rsidRPr="009E4BC0">
        <w:rPr>
          <w:rFonts w:ascii="微软雅黑" w:eastAsia="微软雅黑" w:hAnsi="微软雅黑" w:cs="宋体" w:hint="eastAsia"/>
          <w:b/>
          <w:bCs/>
          <w:kern w:val="0"/>
          <w:sz w:val="24"/>
        </w:rPr>
        <w:t>考核标准</w:t>
      </w:r>
      <w:bookmarkStart w:id="0" w:name="_GoBack"/>
      <w:bookmarkEnd w:id="0"/>
    </w:p>
    <w:tbl>
      <w:tblPr>
        <w:tblW w:w="8505" w:type="dxa"/>
        <w:tblLook w:val="04A0" w:firstRow="1" w:lastRow="0" w:firstColumn="1" w:lastColumn="0" w:noHBand="0" w:noVBand="1"/>
      </w:tblPr>
      <w:tblGrid>
        <w:gridCol w:w="914"/>
        <w:gridCol w:w="2625"/>
        <w:gridCol w:w="1183"/>
        <w:gridCol w:w="3783"/>
      </w:tblGrid>
      <w:tr w:rsidR="00AA6D4E" w:rsidRPr="009E4BC0" w14:paraId="2F25D279" w14:textId="77777777" w:rsidTr="00AA6D4E">
        <w:trPr>
          <w:trHeight w:val="54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D73" w14:textId="4614EC6B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t>1.</w:t>
            </w:r>
            <w:r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日常</w:t>
            </w:r>
            <w:r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考核</w:t>
            </w:r>
            <w:r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（满分</w:t>
            </w: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t>3</w:t>
            </w:r>
            <w:r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0）</w:t>
            </w:r>
          </w:p>
        </w:tc>
      </w:tr>
      <w:tr w:rsidR="00AA6D4E" w:rsidRPr="009E4BC0" w14:paraId="5A88B77C" w14:textId="77777777" w:rsidTr="008871CB">
        <w:trPr>
          <w:trHeight w:val="58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2CC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序号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9F5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内容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A6C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每次计分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07A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备注</w:t>
            </w:r>
          </w:p>
        </w:tc>
      </w:tr>
      <w:tr w:rsidR="00AA6D4E" w:rsidRPr="009E4BC0" w14:paraId="3B059645" w14:textId="77777777" w:rsidTr="008871CB">
        <w:trPr>
          <w:trHeight w:val="87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E9B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2FE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项目没有运营，没开门，无人职守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638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-10</w:t>
            </w:r>
          </w:p>
        </w:tc>
        <w:tc>
          <w:tcPr>
            <w:tcW w:w="37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1D0" w14:textId="46D87338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 xml:space="preserve"> “一日一检”方式</w:t>
            </w: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。起始分1</w:t>
            </w:r>
            <w:r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  <w:t>00</w:t>
            </w: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分，扣分制。</w:t>
            </w: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学期末根据每天</w:t>
            </w: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得分计算</w:t>
            </w: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平均分</w:t>
            </w: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后折算。</w:t>
            </w:r>
          </w:p>
        </w:tc>
      </w:tr>
      <w:tr w:rsidR="00AA6D4E" w:rsidRPr="009E4BC0" w14:paraId="722EA29D" w14:textId="77777777" w:rsidTr="008871CB">
        <w:trPr>
          <w:trHeight w:val="132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743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9925" w14:textId="30628459" w:rsidR="00AA6D4E" w:rsidRPr="009E4BC0" w:rsidRDefault="00AA6D4E" w:rsidP="00AA6D4E">
            <w:pPr>
              <w:widowControl/>
              <w:contextualSpacing/>
              <w:mirrorIndents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场地</w:t>
            </w: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或工位不整洁，留有明显的垃圾、墙角有蛛网、窗玻璃有污迹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F82E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-10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174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AA6D4E" w:rsidRPr="009E4BC0" w14:paraId="0163A1FC" w14:textId="77777777" w:rsidTr="008871CB">
        <w:trPr>
          <w:trHeight w:val="8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913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114" w14:textId="77777777" w:rsidR="00AA6D4E" w:rsidRPr="009E4BC0" w:rsidRDefault="00AA6D4E" w:rsidP="00AA6D4E">
            <w:pPr>
              <w:widowControl/>
              <w:contextualSpacing/>
              <w:mirrorIndents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消防器材及设施欠缺，消防警示标志破损或缺失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86D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破损-5、欠缺-10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18E79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AA6D4E" w:rsidRPr="009E4BC0" w14:paraId="2F42534C" w14:textId="77777777" w:rsidTr="008871CB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F4EB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A4D" w14:textId="77777777" w:rsidR="00AA6D4E" w:rsidRPr="009E4BC0" w:rsidRDefault="00AA6D4E" w:rsidP="00AA6D4E">
            <w:pPr>
              <w:widowControl/>
              <w:contextualSpacing/>
              <w:mirrorIndents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违规使用大功率电器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5BD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-10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13E5D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AA6D4E" w:rsidRPr="009E4BC0" w14:paraId="6A8BFA8B" w14:textId="77777777" w:rsidTr="008871CB">
        <w:trPr>
          <w:trHeight w:val="6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876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625" w14:textId="77777777" w:rsidR="00AA6D4E" w:rsidRPr="009E4BC0" w:rsidRDefault="00AA6D4E" w:rsidP="00AA6D4E">
            <w:pPr>
              <w:widowControl/>
              <w:contextualSpacing/>
              <w:mirrorIndents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店面内晚上发现有人留宿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3A9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-10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E967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AA6D4E" w:rsidRPr="009E4BC0" w14:paraId="01B311A2" w14:textId="77777777" w:rsidTr="008871CB">
        <w:trPr>
          <w:trHeight w:val="51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BC4" w14:textId="5156FE7E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t>2.</w:t>
            </w:r>
            <w:r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学期末考核</w:t>
            </w:r>
            <w:r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（满分</w:t>
            </w: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t>3</w:t>
            </w:r>
            <w:r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0）</w:t>
            </w:r>
          </w:p>
        </w:tc>
      </w:tr>
      <w:tr w:rsidR="00AA6D4E" w:rsidRPr="009E4BC0" w14:paraId="16449383" w14:textId="77777777" w:rsidTr="008871CB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80B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序号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2D93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内容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722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每次计分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2F2C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备注</w:t>
            </w:r>
          </w:p>
        </w:tc>
      </w:tr>
      <w:tr w:rsidR="00AA6D4E" w:rsidRPr="009E4BC0" w14:paraId="1BABF161" w14:textId="77777777" w:rsidTr="00CA382D">
        <w:trPr>
          <w:trHeight w:val="73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B0D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FFC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项目日常运营情况或项目运行进展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D5B" w14:textId="33DA7170" w:rsidR="00AA6D4E" w:rsidRPr="009E4BC0" w:rsidRDefault="00AA6D4E" w:rsidP="00AA6D4E">
            <w:pPr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  <w:t>30</w:t>
            </w: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87C" w14:textId="4D2B7D5C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学期考核需由项目负责人进行汇报，由评审组进行评分。不参加学期末考核的项目，认定为不合格。</w:t>
            </w:r>
          </w:p>
        </w:tc>
      </w:tr>
      <w:tr w:rsidR="00AA6D4E" w:rsidRPr="009E4BC0" w14:paraId="62460022" w14:textId="77777777" w:rsidTr="00CA382D">
        <w:trPr>
          <w:trHeight w:val="73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208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4CB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取得的阶段性成果或项目收益情况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F26B" w14:textId="6E4D4B00" w:rsidR="00AA6D4E" w:rsidRPr="009E4BC0" w:rsidRDefault="00AA6D4E" w:rsidP="00AA6D4E">
            <w:pPr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EAAF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AA6D4E" w:rsidRPr="009E4BC0" w14:paraId="769166C8" w14:textId="77777777" w:rsidTr="00CA382D">
        <w:trPr>
          <w:trHeight w:val="73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9E9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2626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存在问题及诊改设想</w:t>
            </w: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D15" w14:textId="7B69D39F" w:rsidR="00AA6D4E" w:rsidRPr="009E4BC0" w:rsidRDefault="00AA6D4E" w:rsidP="00AA6D4E">
            <w:pPr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8372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AA6D4E" w:rsidRPr="009E4BC0" w14:paraId="00ADD6E3" w14:textId="77777777" w:rsidTr="00CA382D">
        <w:trPr>
          <w:trHeight w:val="73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F39A" w14:textId="77777777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8FB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下阶段计划及主要措施等内容</w:t>
            </w: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D74" w14:textId="660AB8FB" w:rsidR="00AA6D4E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8D90" w14:textId="77777777" w:rsidR="00AA6D4E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8E4DB3" w:rsidRPr="009E4BC0" w14:paraId="6658B755" w14:textId="77777777" w:rsidTr="00E56797">
        <w:trPr>
          <w:trHeight w:val="54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F26" w14:textId="443942AF" w:rsidR="008E4DB3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lastRenderedPageBreak/>
              <w:t>3.</w:t>
            </w:r>
            <w:r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活动参与度</w:t>
            </w:r>
            <w:r w:rsidR="008E4DB3"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（满分</w:t>
            </w: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t>2</w:t>
            </w:r>
            <w:r w:rsidR="008E4DB3"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0）</w:t>
            </w:r>
          </w:p>
        </w:tc>
      </w:tr>
      <w:tr w:rsidR="008E4DB3" w:rsidRPr="009E4BC0" w14:paraId="13798ACD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29C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序号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8BE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内容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46B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每次计分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D13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备注</w:t>
            </w:r>
          </w:p>
        </w:tc>
      </w:tr>
      <w:tr w:rsidR="008E4DB3" w:rsidRPr="009E4BC0" w14:paraId="3EB66484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888E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42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无故缺席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9F8B" w14:textId="5B2E1D6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-</w:t>
            </w:r>
            <w:r w:rsidR="00AA6D4E"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  <w:t>5</w:t>
            </w: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ABF" w14:textId="1000D2A5" w:rsidR="008E4DB3" w:rsidRPr="009E4BC0" w:rsidRDefault="008E4DB3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活动由</w:t>
            </w:r>
            <w:r w:rsidR="003E334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创新创业学院</w:t>
            </w: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提前向团队发布通知</w:t>
            </w:r>
            <w:r w:rsidR="00AA6D4E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，加分上限为2</w:t>
            </w:r>
            <w:r w:rsidR="00AA6D4E"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  <w:t>0</w:t>
            </w:r>
            <w:r w:rsidR="00AA6D4E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分。</w:t>
            </w:r>
          </w:p>
        </w:tc>
      </w:tr>
      <w:tr w:rsidR="008E4DB3" w:rsidRPr="009E4BC0" w14:paraId="1267D3FE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1B4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9DB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请假缺席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CF4" w14:textId="6C248768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-</w:t>
            </w:r>
            <w:r w:rsidR="00AA6D4E"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  <w:t>3</w:t>
            </w: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50AD" w14:textId="77777777" w:rsidR="008E4DB3" w:rsidRPr="009E4BC0" w:rsidRDefault="008E4DB3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8E4DB3" w:rsidRPr="009E4BC0" w14:paraId="16658D50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444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900" w14:textId="46F316F8" w:rsidR="008E4DB3" w:rsidRPr="009E4BC0" w:rsidRDefault="00AA6D4E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承担组织工作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A5BE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+5</w:t>
            </w: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1B1A" w14:textId="77777777" w:rsidR="008E4DB3" w:rsidRPr="009E4BC0" w:rsidRDefault="008E4DB3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  <w:tr w:rsidR="008E4DB3" w:rsidRPr="009E4BC0" w14:paraId="6180C89C" w14:textId="77777777" w:rsidTr="00E56797">
        <w:trPr>
          <w:trHeight w:val="54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9DF" w14:textId="682AED36" w:rsidR="008E4DB3" w:rsidRPr="009E4BC0" w:rsidRDefault="00AA6D4E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494949"/>
                <w:kern w:val="0"/>
                <w:szCs w:val="21"/>
              </w:rPr>
              <w:t>4.</w:t>
            </w:r>
            <w:r w:rsidR="008E4DB3" w:rsidRPr="009E4BC0">
              <w:rPr>
                <w:rFonts w:ascii="微软雅黑" w:eastAsia="微软雅黑" w:hAnsi="微软雅黑" w:cs="宋体" w:hint="eastAsia"/>
                <w:b/>
                <w:bCs/>
                <w:color w:val="494949"/>
                <w:kern w:val="0"/>
                <w:szCs w:val="21"/>
              </w:rPr>
              <w:t>创赛参与度（满分20）</w:t>
            </w:r>
          </w:p>
        </w:tc>
      </w:tr>
      <w:tr w:rsidR="008E4DB3" w:rsidRPr="009E4BC0" w14:paraId="0CE19866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864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序号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780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内容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4CE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每次计分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B5E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备注</w:t>
            </w:r>
          </w:p>
        </w:tc>
      </w:tr>
      <w:tr w:rsidR="008E4DB3" w:rsidRPr="009E4BC0" w14:paraId="64CCF175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CF6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424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成功报名参赛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CB3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+5</w:t>
            </w:r>
          </w:p>
        </w:tc>
        <w:tc>
          <w:tcPr>
            <w:tcW w:w="3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DC7" w14:textId="33F41AC1" w:rsidR="008E4DB3" w:rsidRPr="009E4BC0" w:rsidRDefault="00AA6D4E" w:rsidP="00AA6D4E">
            <w:pPr>
              <w:widowControl/>
              <w:contextualSpacing/>
              <w:mirrorIndents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参加学校</w:t>
            </w:r>
            <w:r w:rsidR="008E4DB3"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校认可的各项大学生创新创业赛事</w:t>
            </w: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，加分上限为2</w:t>
            </w:r>
            <w:r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分。</w:t>
            </w:r>
          </w:p>
        </w:tc>
      </w:tr>
      <w:tr w:rsidR="008E4DB3" w:rsidRPr="009E4BC0" w14:paraId="16A90F38" w14:textId="77777777" w:rsidTr="00E56797">
        <w:trPr>
          <w:trHeight w:val="54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115D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9ED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获校级以上奖项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3B53" w14:textId="77777777" w:rsidR="008E4DB3" w:rsidRPr="009E4BC0" w:rsidRDefault="008E4DB3" w:rsidP="00AA6D4E">
            <w:pPr>
              <w:widowControl/>
              <w:contextualSpacing/>
              <w:mirrorIndents/>
              <w:jc w:val="center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  <w:r w:rsidRPr="009E4BC0">
              <w:rPr>
                <w:rFonts w:ascii="微软雅黑" w:eastAsia="微软雅黑" w:hAnsi="微软雅黑" w:cs="宋体" w:hint="eastAsia"/>
                <w:color w:val="494949"/>
                <w:kern w:val="0"/>
                <w:szCs w:val="21"/>
              </w:rPr>
              <w:t>+5</w:t>
            </w:r>
          </w:p>
        </w:tc>
        <w:tc>
          <w:tcPr>
            <w:tcW w:w="3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E461" w14:textId="77777777" w:rsidR="008E4DB3" w:rsidRPr="009E4BC0" w:rsidRDefault="008E4DB3" w:rsidP="00AA6D4E">
            <w:pPr>
              <w:widowControl/>
              <w:contextualSpacing/>
              <w:mirrorIndents/>
              <w:jc w:val="left"/>
              <w:rPr>
                <w:rFonts w:ascii="微软雅黑" w:eastAsia="微软雅黑" w:hAnsi="微软雅黑" w:cs="宋体"/>
                <w:color w:val="494949"/>
                <w:kern w:val="0"/>
                <w:szCs w:val="21"/>
              </w:rPr>
            </w:pPr>
          </w:p>
        </w:tc>
      </w:tr>
    </w:tbl>
    <w:p w14:paraId="7B7BB762" w14:textId="77777777" w:rsidR="009E4BC0" w:rsidRPr="009E4BC0" w:rsidRDefault="009E4BC0" w:rsidP="009E4BC0">
      <w:pPr>
        <w:widowControl/>
        <w:spacing w:line="480" w:lineRule="atLeast"/>
        <w:ind w:firstLine="480"/>
        <w:jc w:val="left"/>
        <w:rPr>
          <w:rFonts w:ascii="仿宋_GB2312" w:eastAsia="仿宋_GB2312" w:hAnsi="微软雅黑" w:cs="宋体"/>
          <w:color w:val="494949"/>
          <w:kern w:val="0"/>
          <w:sz w:val="32"/>
          <w:szCs w:val="32"/>
        </w:rPr>
      </w:pPr>
    </w:p>
    <w:sectPr w:rsidR="009E4BC0" w:rsidRPr="009E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E4C7" w14:textId="77777777" w:rsidR="0024174E" w:rsidRDefault="0024174E" w:rsidP="00D71F2C">
      <w:r>
        <w:separator/>
      </w:r>
    </w:p>
  </w:endnote>
  <w:endnote w:type="continuationSeparator" w:id="0">
    <w:p w14:paraId="25D35C93" w14:textId="77777777" w:rsidR="0024174E" w:rsidRDefault="0024174E" w:rsidP="00D7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EB7F" w14:textId="77777777" w:rsidR="0024174E" w:rsidRDefault="0024174E" w:rsidP="00D71F2C">
      <w:r>
        <w:separator/>
      </w:r>
    </w:p>
  </w:footnote>
  <w:footnote w:type="continuationSeparator" w:id="0">
    <w:p w14:paraId="43A01158" w14:textId="77777777" w:rsidR="0024174E" w:rsidRDefault="0024174E" w:rsidP="00D7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902"/>
    <w:multiLevelType w:val="hybridMultilevel"/>
    <w:tmpl w:val="E31AEAE0"/>
    <w:lvl w:ilvl="0" w:tplc="E14CA1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C2D7AB3"/>
    <w:multiLevelType w:val="hybridMultilevel"/>
    <w:tmpl w:val="BCA247AA"/>
    <w:lvl w:ilvl="0" w:tplc="E460F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64"/>
    <w:rsid w:val="000405B2"/>
    <w:rsid w:val="00100A18"/>
    <w:rsid w:val="002224A9"/>
    <w:rsid w:val="0024174E"/>
    <w:rsid w:val="002B6115"/>
    <w:rsid w:val="002E1F69"/>
    <w:rsid w:val="002E5EFA"/>
    <w:rsid w:val="0035723A"/>
    <w:rsid w:val="00384D08"/>
    <w:rsid w:val="00392416"/>
    <w:rsid w:val="003E3340"/>
    <w:rsid w:val="004167C0"/>
    <w:rsid w:val="00454AB5"/>
    <w:rsid w:val="004557B3"/>
    <w:rsid w:val="00466AAF"/>
    <w:rsid w:val="0047210B"/>
    <w:rsid w:val="00490A0A"/>
    <w:rsid w:val="004A5B86"/>
    <w:rsid w:val="004C7137"/>
    <w:rsid w:val="004D2205"/>
    <w:rsid w:val="00515264"/>
    <w:rsid w:val="00586E06"/>
    <w:rsid w:val="005A3928"/>
    <w:rsid w:val="005B1864"/>
    <w:rsid w:val="00654566"/>
    <w:rsid w:val="0069120D"/>
    <w:rsid w:val="006E1833"/>
    <w:rsid w:val="00716FE4"/>
    <w:rsid w:val="00793372"/>
    <w:rsid w:val="007B4E83"/>
    <w:rsid w:val="007C775F"/>
    <w:rsid w:val="008103F6"/>
    <w:rsid w:val="008257B8"/>
    <w:rsid w:val="008E4DB3"/>
    <w:rsid w:val="009E4BC0"/>
    <w:rsid w:val="00A43F62"/>
    <w:rsid w:val="00A56BB0"/>
    <w:rsid w:val="00AA6D4E"/>
    <w:rsid w:val="00AB5C69"/>
    <w:rsid w:val="00B35B3D"/>
    <w:rsid w:val="00B87AC3"/>
    <w:rsid w:val="00BB00FB"/>
    <w:rsid w:val="00BB417A"/>
    <w:rsid w:val="00C676DE"/>
    <w:rsid w:val="00C82827"/>
    <w:rsid w:val="00CA2B11"/>
    <w:rsid w:val="00CF3759"/>
    <w:rsid w:val="00D24550"/>
    <w:rsid w:val="00D71F2C"/>
    <w:rsid w:val="00DC31B3"/>
    <w:rsid w:val="00DF4E32"/>
    <w:rsid w:val="00E136D6"/>
    <w:rsid w:val="00E660BC"/>
    <w:rsid w:val="00ED1D94"/>
    <w:rsid w:val="00F1709B"/>
    <w:rsid w:val="00F4559B"/>
    <w:rsid w:val="00FC7EE6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DF1A7"/>
  <w15:chartTrackingRefBased/>
  <w15:docId w15:val="{825A9B0F-DB1D-459D-80B3-DE6CE7ED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24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link w:val="a4"/>
    <w:qFormat/>
    <w:rsid w:val="002224A9"/>
    <w:pPr>
      <w:spacing w:before="100" w:beforeAutospacing="1" w:after="0" w:line="240" w:lineRule="auto"/>
    </w:pPr>
    <w:rPr>
      <w:rFonts w:ascii="宋体" w:hAnsi="宋体"/>
      <w:b w:val="0"/>
      <w:bCs w:val="0"/>
      <w:sz w:val="32"/>
      <w:szCs w:val="21"/>
    </w:rPr>
  </w:style>
  <w:style w:type="character" w:customStyle="1" w:styleId="a4">
    <w:name w:val="一级标题 字符"/>
    <w:basedOn w:val="a0"/>
    <w:link w:val="a3"/>
    <w:rsid w:val="002224A9"/>
    <w:rPr>
      <w:rFonts w:ascii="宋体" w:hAnsi="宋体"/>
      <w:kern w:val="44"/>
      <w:sz w:val="32"/>
      <w:szCs w:val="21"/>
    </w:rPr>
  </w:style>
  <w:style w:type="character" w:customStyle="1" w:styleId="10">
    <w:name w:val="标题 1 字符"/>
    <w:basedOn w:val="a0"/>
    <w:link w:val="1"/>
    <w:uiPriority w:val="9"/>
    <w:rsid w:val="002224A9"/>
    <w:rPr>
      <w:b/>
      <w:bCs/>
      <w:kern w:val="44"/>
      <w:sz w:val="44"/>
      <w:szCs w:val="44"/>
    </w:rPr>
  </w:style>
  <w:style w:type="paragraph" w:customStyle="1" w:styleId="a5">
    <w:name w:val="二级标题"/>
    <w:basedOn w:val="a"/>
    <w:link w:val="a6"/>
    <w:qFormat/>
    <w:rsid w:val="002224A9"/>
    <w:pPr>
      <w:spacing w:before="100" w:beforeAutospacing="1" w:after="100" w:afterAutospacing="1" w:line="360" w:lineRule="auto"/>
    </w:pPr>
    <w:rPr>
      <w:rFonts w:ascii="宋体" w:hAnsi="宋体"/>
      <w:b/>
      <w:bCs/>
      <w:sz w:val="30"/>
      <w:szCs w:val="21"/>
    </w:rPr>
  </w:style>
  <w:style w:type="character" w:customStyle="1" w:styleId="a6">
    <w:name w:val="二级标题 字符"/>
    <w:basedOn w:val="a0"/>
    <w:link w:val="a5"/>
    <w:rsid w:val="002224A9"/>
    <w:rPr>
      <w:rFonts w:ascii="宋体" w:hAnsi="宋体"/>
      <w:b/>
      <w:bCs/>
      <w:sz w:val="30"/>
      <w:szCs w:val="21"/>
    </w:rPr>
  </w:style>
  <w:style w:type="paragraph" w:styleId="a7">
    <w:name w:val="header"/>
    <w:basedOn w:val="a"/>
    <w:link w:val="a8"/>
    <w:uiPriority w:val="99"/>
    <w:unhideWhenUsed/>
    <w:rsid w:val="00D7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71F2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71F2C"/>
    <w:rPr>
      <w:sz w:val="18"/>
      <w:szCs w:val="18"/>
    </w:rPr>
  </w:style>
  <w:style w:type="paragraph" w:styleId="ab">
    <w:name w:val="List Paragraph"/>
    <w:basedOn w:val="a"/>
    <w:uiPriority w:val="34"/>
    <w:qFormat/>
    <w:rsid w:val="00CA2B11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4721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7210B"/>
    <w:rPr>
      <w:color w:val="0000FF"/>
      <w:u w:val="single"/>
    </w:rPr>
  </w:style>
  <w:style w:type="character" w:styleId="ae">
    <w:name w:val="Strong"/>
    <w:basedOn w:val="a0"/>
    <w:uiPriority w:val="22"/>
    <w:qFormat/>
    <w:rsid w:val="007B4E83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3E3340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3E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1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7E7E7"/>
                            <w:right w:val="none" w:sz="0" w:space="0" w:color="auto"/>
                          </w:divBdr>
                          <w:divsChild>
                            <w:div w:id="9218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38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7E7E7"/>
                            <w:right w:val="none" w:sz="0" w:space="0" w:color="auto"/>
                          </w:divBdr>
                          <w:divsChild>
                            <w:div w:id="4118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1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7E7E7"/>
                            <w:right w:val="none" w:sz="0" w:space="0" w:color="auto"/>
                          </w:divBdr>
                          <w:divsChild>
                            <w:div w:id="104729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6A65-BE82-4688-856A-C7AA0FC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861</Words>
  <Characters>914</Characters>
  <Application>Microsoft Office Word</Application>
  <DocSecurity>0</DocSecurity>
  <Lines>50</Lines>
  <Paragraphs>55</Paragraphs>
  <ScaleCrop>false</ScaleCrop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振中</dc:creator>
  <cp:keywords/>
  <dc:description/>
  <cp:lastModifiedBy>毛 振中</cp:lastModifiedBy>
  <cp:revision>3</cp:revision>
  <dcterms:created xsi:type="dcterms:W3CDTF">2021-09-07T07:25:00Z</dcterms:created>
  <dcterms:modified xsi:type="dcterms:W3CDTF">2021-09-08T02:10:00Z</dcterms:modified>
</cp:coreProperties>
</file>