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57" w:lineRule="exact" w:before="0"/>
        <w:ind w:left="120" w:right="0" w:firstLine="0"/>
        <w:jc w:val="left"/>
        <w:rPr>
          <w:rFonts w:ascii="Microsoft JhengHei" w:eastAsia="Microsoft JhengHei" w:hint="eastAsia"/>
          <w:b/>
          <w:sz w:val="28"/>
        </w:rPr>
      </w:pPr>
      <w:r>
        <w:rPr>
          <w:rFonts w:ascii="Microsoft JhengHei" w:eastAsia="Microsoft JhengHei" w:hint="eastAsia"/>
          <w:b/>
          <w:sz w:val="28"/>
        </w:rPr>
        <w:t>附件 2：</w:t>
      </w:r>
    </w:p>
    <w:p>
      <w:pPr>
        <w:pStyle w:val="BodyText"/>
        <w:spacing w:before="8"/>
        <w:rPr>
          <w:rFonts w:ascii="Microsoft JhengHei"/>
          <w:b/>
          <w:sz w:val="6"/>
        </w:rPr>
      </w:pPr>
    </w:p>
    <w:p>
      <w:pPr>
        <w:spacing w:line="538" w:lineRule="exact" w:before="0"/>
        <w:ind w:left="1693" w:right="2232" w:firstLine="0"/>
        <w:jc w:val="center"/>
        <w:rPr>
          <w:rFonts w:ascii="Microsoft JhengHei" w:eastAsia="Microsoft JhengHei" w:hint="eastAsia"/>
          <w:b/>
          <w:sz w:val="32"/>
        </w:rPr>
      </w:pPr>
      <w:r>
        <w:rPr>
          <w:rFonts w:ascii="Microsoft JhengHei" w:eastAsia="Microsoft JhengHei" w:hint="eastAsia"/>
          <w:b/>
          <w:sz w:val="32"/>
        </w:rPr>
        <w:t>常州工程职业技术学院</w:t>
      </w:r>
    </w:p>
    <w:p>
      <w:pPr>
        <w:spacing w:before="35"/>
        <w:ind w:left="1693" w:right="2237" w:firstLine="0"/>
        <w:jc w:val="center"/>
        <w:rPr>
          <w:rFonts w:ascii="Microsoft JhengHei" w:eastAsia="Microsoft JhengHei" w:hint="eastAsia"/>
          <w:b/>
          <w:sz w:val="32"/>
        </w:rPr>
      </w:pPr>
      <w:r>
        <w:rPr>
          <w:rFonts w:ascii="Microsoft JhengHei" w:eastAsia="Microsoft JhengHei" w:hint="eastAsia"/>
          <w:b/>
          <w:sz w:val="32"/>
        </w:rPr>
        <w:t>毕业生网上签约使用手册（学生版）</w:t>
      </w:r>
    </w:p>
    <w:p>
      <w:pPr>
        <w:pStyle w:val="BodyText"/>
        <w:spacing w:before="17"/>
        <w:rPr>
          <w:rFonts w:ascii="Microsoft JhengHei"/>
          <w:b/>
          <w:sz w:val="30"/>
        </w:rPr>
      </w:pPr>
    </w:p>
    <w:p>
      <w:pPr>
        <w:spacing w:before="0"/>
        <w:ind w:left="1693" w:right="2231" w:firstLine="0"/>
        <w:jc w:val="center"/>
        <w:rPr>
          <w:rFonts w:ascii="Microsoft JhengHei" w:eastAsia="Microsoft JhengHei" w:hint="eastAsia"/>
          <w:b/>
          <w:sz w:val="28"/>
        </w:rPr>
      </w:pPr>
      <w:r>
        <w:rPr>
          <w:rFonts w:ascii="Microsoft JhengHei" w:eastAsia="Microsoft JhengHei" w:hint="eastAsia"/>
          <w:b/>
          <w:color w:val="2E5395"/>
          <w:sz w:val="28"/>
        </w:rPr>
        <w:t>目录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309" w:val="right" w:leader="dot"/>
            </w:tabs>
            <w:spacing w:before="140"/>
            <w:ind w:left="0" w:firstLine="0"/>
            <w:rPr>
              <w:rFonts w:ascii="等线" w:eastAsia="等线" w:hint="eastAsia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bookmark0">
            <w:r>
              <w:rPr/>
              <w:t>一、学</w:t>
            </w:r>
            <w:r>
              <w:rPr>
                <w:spacing w:val="-3"/>
              </w:rPr>
              <w:t>生</w:t>
            </w:r>
            <w:r>
              <w:rPr/>
              <w:t>登录</w:t>
              <w:tab/>
            </w:r>
            <w:r>
              <w:rPr>
                <w:rFonts w:ascii="等线" w:eastAsia="等线" w:hint="eastAsia"/>
              </w:rPr>
              <w:t>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90" w:val="left" w:leader="none"/>
              <w:tab w:pos="7889" w:val="right" w:leader="dot"/>
            </w:tabs>
            <w:spacing w:line="240" w:lineRule="auto" w:before="203" w:after="0"/>
            <w:ind w:left="1030" w:right="654" w:hanging="1030"/>
            <w:jc w:val="right"/>
            <w:rPr>
              <w:rFonts w:ascii="等线" w:eastAsia="等线" w:hint="eastAsia"/>
            </w:rPr>
          </w:pPr>
          <w:hyperlink w:history="true" w:anchor="_bookmark1">
            <w:r>
              <w:rPr/>
              <w:t>登录</w:t>
              <w:tab/>
            </w:r>
            <w:r>
              <w:rPr>
                <w:rFonts w:ascii="等线" w:eastAsia="等线" w:hint="eastAsia"/>
              </w:rPr>
              <w:t>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90" w:val="left" w:leader="none"/>
              <w:tab w:pos="7889" w:val="right" w:leader="dot"/>
            </w:tabs>
            <w:spacing w:line="240" w:lineRule="auto" w:before="202" w:after="0"/>
            <w:ind w:left="1030" w:right="654" w:hanging="1030"/>
            <w:jc w:val="right"/>
            <w:rPr>
              <w:rFonts w:ascii="等线" w:eastAsia="等线" w:hint="eastAsia"/>
            </w:rPr>
          </w:pPr>
          <w:hyperlink w:history="true" w:anchor="_bookmark2">
            <w:r>
              <w:rPr/>
              <w:t>登录成功</w:t>
              <w:tab/>
            </w:r>
            <w:r>
              <w:rPr>
                <w:rFonts w:ascii="等线" w:eastAsia="等线" w:hint="eastAsia"/>
              </w:rPr>
              <w:t>3</w:t>
            </w:r>
          </w:hyperlink>
        </w:p>
        <w:p>
          <w:pPr>
            <w:pStyle w:val="TOC1"/>
            <w:tabs>
              <w:tab w:pos="8309" w:val="right" w:leader="dot"/>
            </w:tabs>
            <w:ind w:left="0" w:firstLine="0"/>
            <w:rPr>
              <w:rFonts w:ascii="等线" w:eastAsia="等线" w:hint="eastAsia"/>
            </w:rPr>
          </w:pPr>
          <w:hyperlink w:history="true" w:anchor="_bookmark3">
            <w:r>
              <w:rPr/>
              <w:t>二、网</w:t>
            </w:r>
            <w:r>
              <w:rPr>
                <w:spacing w:val="-3"/>
              </w:rPr>
              <w:t>上</w:t>
            </w:r>
            <w:r>
              <w:rPr/>
              <w:t>签约</w:t>
              <w:tab/>
            </w:r>
            <w:r>
              <w:rPr>
                <w:rFonts w:ascii="等线" w:eastAsia="等线" w:hint="eastAsia"/>
              </w:rPr>
              <w:t>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90" w:val="left" w:leader="none"/>
              <w:tab w:pos="7889" w:val="right" w:leader="dot"/>
            </w:tabs>
            <w:spacing w:line="240" w:lineRule="auto" w:before="203" w:after="0"/>
            <w:ind w:left="1030" w:right="654" w:hanging="1030"/>
            <w:jc w:val="right"/>
            <w:rPr>
              <w:rFonts w:ascii="等线" w:eastAsia="等线" w:hint="eastAsia"/>
            </w:rPr>
          </w:pPr>
          <w:hyperlink w:history="true" w:anchor="_bookmark4">
            <w:r>
              <w:rPr/>
              <w:t>电子签约</w:t>
              <w:tab/>
            </w:r>
            <w:r>
              <w:rPr>
                <w:rFonts w:ascii="等线" w:eastAsia="等线" w:hint="eastAsia"/>
              </w:rPr>
              <w:t>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71" w:val="left" w:leader="none"/>
              <w:tab w:pos="7469" w:val="right" w:leader="dot"/>
            </w:tabs>
            <w:spacing w:line="240" w:lineRule="auto" w:before="202" w:after="0"/>
            <w:ind w:left="1730" w:right="654" w:hanging="1731"/>
            <w:jc w:val="right"/>
            <w:rPr>
              <w:rFonts w:ascii="等线" w:eastAsia="等线" w:hint="eastAsia"/>
            </w:rPr>
          </w:pPr>
          <w:hyperlink w:history="true" w:anchor="_bookmark5">
            <w:r>
              <w:rPr/>
              <w:t>查看邀</w:t>
            </w:r>
            <w:r>
              <w:rPr>
                <w:spacing w:val="-3"/>
              </w:rPr>
              <w:t>请</w:t>
            </w:r>
            <w:r>
              <w:rPr/>
              <w:t>函</w:t>
            </w:r>
            <w:r>
              <w:rPr>
                <w:spacing w:val="-3"/>
              </w:rPr>
              <w:t>（</w:t>
            </w:r>
            <w:r>
              <w:rPr/>
              <w:t>同意或</w:t>
            </w:r>
            <w:r>
              <w:rPr>
                <w:spacing w:val="-3"/>
              </w:rPr>
              <w:t>拒</w:t>
            </w:r>
            <w:r>
              <w:rPr/>
              <w:t>绝）</w:t>
              <w:tab/>
            </w:r>
            <w:r>
              <w:rPr>
                <w:rFonts w:ascii="等线" w:eastAsia="等线" w:hint="eastAsia"/>
              </w:rPr>
              <w:t>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71" w:val="left" w:leader="none"/>
              <w:tab w:pos="7469" w:val="right" w:leader="dot"/>
            </w:tabs>
            <w:spacing w:line="240" w:lineRule="auto" w:before="203" w:after="0"/>
            <w:ind w:left="1730" w:right="654" w:hanging="1731"/>
            <w:jc w:val="right"/>
            <w:rPr>
              <w:rFonts w:ascii="等线" w:eastAsia="等线" w:hint="eastAsia"/>
            </w:rPr>
          </w:pPr>
          <w:hyperlink w:history="true" w:anchor="_bookmark6">
            <w:r>
              <w:rPr/>
              <w:t>查看详情</w:t>
              <w:tab/>
            </w:r>
            <w:r>
              <w:rPr>
                <w:rFonts w:ascii="等线" w:eastAsia="等线" w:hint="eastAsia"/>
              </w:rPr>
              <w:t>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71" w:val="left" w:leader="none"/>
              <w:tab w:pos="7469" w:val="right" w:leader="dot"/>
            </w:tabs>
            <w:spacing w:line="240" w:lineRule="auto" w:before="202" w:after="0"/>
            <w:ind w:left="1730" w:right="654" w:hanging="1731"/>
            <w:jc w:val="right"/>
            <w:rPr>
              <w:rFonts w:ascii="等线" w:eastAsia="等线" w:hint="eastAsia"/>
            </w:rPr>
          </w:pPr>
          <w:hyperlink w:history="true" w:anchor="_bookmark7">
            <w:r>
              <w:rPr/>
              <w:t>等待学</w:t>
            </w:r>
            <w:r>
              <w:rPr>
                <w:spacing w:val="-3"/>
              </w:rPr>
              <w:t>校</w:t>
            </w:r>
            <w:r>
              <w:rPr/>
              <w:t>签</w:t>
            </w:r>
            <w:r>
              <w:rPr>
                <w:spacing w:val="-3"/>
              </w:rPr>
              <w:t>约</w:t>
            </w:r>
            <w:r>
              <w:rPr/>
              <w:t>审核</w:t>
              <w:tab/>
            </w:r>
            <w:r>
              <w:rPr>
                <w:rFonts w:ascii="等线" w:eastAsia="等线" w:hint="eastAsia"/>
              </w:rPr>
              <w:t>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71" w:val="left" w:leader="none"/>
              <w:tab w:pos="7469" w:val="right" w:leader="dot"/>
            </w:tabs>
            <w:spacing w:line="240" w:lineRule="auto" w:before="203" w:after="0"/>
            <w:ind w:left="1730" w:right="654" w:hanging="1731"/>
            <w:jc w:val="right"/>
            <w:rPr>
              <w:rFonts w:ascii="等线" w:eastAsia="等线" w:hint="eastAsia"/>
            </w:rPr>
          </w:pPr>
          <w:hyperlink w:history="true" w:anchor="_bookmark8">
            <w:r>
              <w:rPr/>
              <w:t>逾期未</w:t>
            </w:r>
            <w:r>
              <w:rPr>
                <w:spacing w:val="-3"/>
              </w:rPr>
              <w:t>处</w:t>
            </w:r>
            <w:r>
              <w:rPr/>
              <w:t>理</w:t>
              <w:tab/>
            </w:r>
            <w:r>
              <w:rPr>
                <w:rFonts w:ascii="等线" w:eastAsia="等线" w:hint="eastAsia"/>
              </w:rPr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90" w:val="left" w:leader="none"/>
              <w:tab w:pos="7889" w:val="right" w:leader="dot"/>
            </w:tabs>
            <w:spacing w:line="240" w:lineRule="auto" w:before="202" w:after="0"/>
            <w:ind w:left="1030" w:right="654" w:hanging="1030"/>
            <w:jc w:val="right"/>
            <w:rPr>
              <w:rFonts w:ascii="等线" w:eastAsia="等线" w:hint="eastAsia"/>
            </w:rPr>
          </w:pPr>
          <w:hyperlink w:history="true" w:anchor="_bookmark9">
            <w:r>
              <w:rPr/>
              <w:t>解约办理</w:t>
              <w:tab/>
            </w:r>
            <w:r>
              <w:rPr>
                <w:rFonts w:ascii="等线" w:eastAsia="等线" w:hint="eastAsia"/>
              </w:rPr>
              <w:t>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71" w:val="left" w:leader="none"/>
              <w:tab w:pos="7469" w:val="right" w:leader="dot"/>
            </w:tabs>
            <w:spacing w:line="240" w:lineRule="auto" w:before="202" w:after="0"/>
            <w:ind w:left="1730" w:right="654" w:hanging="1731"/>
            <w:jc w:val="right"/>
            <w:rPr>
              <w:rFonts w:ascii="等线" w:eastAsia="等线" w:hint="eastAsia"/>
            </w:rPr>
          </w:pPr>
          <w:hyperlink w:history="true" w:anchor="_bookmark10">
            <w:r>
              <w:rPr/>
              <w:t>学生发</w:t>
            </w:r>
            <w:r>
              <w:rPr>
                <w:spacing w:val="-3"/>
              </w:rPr>
              <w:t>起</w:t>
            </w:r>
            <w:r>
              <w:rPr/>
              <w:t>解</w:t>
            </w:r>
            <w:r>
              <w:rPr>
                <w:spacing w:val="-3"/>
              </w:rPr>
              <w:t>约</w:t>
            </w:r>
            <w:r>
              <w:rPr/>
              <w:t>申请</w:t>
              <w:tab/>
            </w:r>
            <w:r>
              <w:rPr>
                <w:rFonts w:ascii="等线" w:eastAsia="等线" w:hint="eastAsia"/>
              </w:rPr>
              <w:t>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71" w:val="left" w:leader="none"/>
              <w:tab w:pos="7469" w:val="right" w:leader="dot"/>
            </w:tabs>
            <w:spacing w:line="240" w:lineRule="auto" w:before="203" w:after="0"/>
            <w:ind w:left="1730" w:right="654" w:hanging="1731"/>
            <w:jc w:val="right"/>
            <w:rPr>
              <w:rFonts w:ascii="等线" w:eastAsia="等线" w:hint="eastAsia"/>
            </w:rPr>
          </w:pPr>
          <w:hyperlink w:history="true" w:anchor="_bookmark11">
            <w:r>
              <w:rPr/>
              <w:t>单位发</w:t>
            </w:r>
            <w:r>
              <w:rPr>
                <w:spacing w:val="-3"/>
              </w:rPr>
              <w:t>起</w:t>
            </w:r>
            <w:r>
              <w:rPr/>
              <w:t>解</w:t>
            </w:r>
            <w:r>
              <w:rPr>
                <w:spacing w:val="-3"/>
              </w:rPr>
              <w:t>约</w:t>
            </w:r>
            <w:r>
              <w:rPr/>
              <w:t>申请</w:t>
              <w:tab/>
            </w:r>
            <w:r>
              <w:rPr>
                <w:rFonts w:ascii="等线" w:eastAsia="等线" w:hint="eastAsia"/>
              </w:rPr>
              <w:t>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71" w:val="left" w:leader="none"/>
              <w:tab w:pos="7469" w:val="right" w:leader="dot"/>
            </w:tabs>
            <w:spacing w:line="240" w:lineRule="auto" w:before="203" w:after="0"/>
            <w:ind w:left="1730" w:right="654" w:hanging="1731"/>
            <w:jc w:val="right"/>
            <w:rPr>
              <w:rFonts w:ascii="等线" w:eastAsia="等线" w:hint="eastAsia"/>
            </w:rPr>
          </w:pPr>
          <w:hyperlink w:history="true" w:anchor="_bookmark12">
            <w:r>
              <w:rPr/>
              <w:t>等待管</w:t>
            </w:r>
            <w:r>
              <w:rPr>
                <w:spacing w:val="-3"/>
              </w:rPr>
              <w:t>理</w:t>
            </w:r>
            <w:r>
              <w:rPr/>
              <w:t>员</w:t>
            </w:r>
            <w:r>
              <w:rPr>
                <w:spacing w:val="-3"/>
              </w:rPr>
              <w:t>审</w:t>
            </w:r>
            <w:r>
              <w:rPr/>
              <w:t>核</w:t>
              <w:tab/>
            </w:r>
            <w:r>
              <w:rPr>
                <w:rFonts w:ascii="等线" w:eastAsia="等线" w:hint="eastAsia"/>
              </w:rPr>
              <w:t>9</w:t>
            </w:r>
          </w:hyperlink>
        </w:p>
        <w:p>
          <w:pPr>
            <w:pStyle w:val="TOC1"/>
            <w:tabs>
              <w:tab w:pos="8310" w:val="right" w:leader="dot"/>
            </w:tabs>
            <w:ind w:left="0" w:right="653" w:firstLine="0"/>
            <w:rPr>
              <w:rFonts w:ascii="等线" w:eastAsia="等线" w:hint="eastAsia"/>
            </w:rPr>
          </w:pPr>
          <w:hyperlink w:history="true" w:anchor="_bookmark13">
            <w:r>
              <w:rPr/>
              <w:t>三、网</w:t>
            </w:r>
            <w:r>
              <w:rPr>
                <w:spacing w:val="-3"/>
              </w:rPr>
              <w:t>签</w:t>
            </w:r>
            <w:r>
              <w:rPr/>
              <w:t>注意</w:t>
            </w:r>
            <w:r>
              <w:rPr>
                <w:spacing w:val="-3"/>
              </w:rPr>
              <w:t>事</w:t>
            </w:r>
            <w:r>
              <w:rPr/>
              <w:t>项</w:t>
              <w:tab/>
            </w:r>
            <w:r>
              <w:rPr>
                <w:rFonts w:ascii="等线" w:eastAsia="等线" w:hint="eastAsia"/>
              </w:rPr>
              <w:t>10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type w:val="continuous"/>
          <w:pgSz w:w="11910" w:h="16840"/>
          <w:pgMar w:top="1520" w:bottom="280" w:left="1680" w:right="1140"/>
        </w:sectPr>
      </w:pPr>
    </w:p>
    <w:p>
      <w:pPr>
        <w:pStyle w:val="Heading1"/>
        <w:spacing w:line="457" w:lineRule="exact"/>
        <w:ind w:left="120" w:firstLine="0"/>
      </w:pPr>
      <w:bookmarkStart w:name="_bookmark0" w:id="1"/>
      <w:bookmarkEnd w:id="1"/>
      <w:r>
        <w:rPr>
          <w:b w:val="0"/>
        </w:rPr>
      </w:r>
      <w:r>
        <w:rPr>
          <w:spacing w:val="4"/>
        </w:rPr>
        <w:t>一、学生登录</w:t>
      </w:r>
    </w:p>
    <w:p>
      <w:pPr>
        <w:pStyle w:val="Heading1"/>
        <w:numPr>
          <w:ilvl w:val="1"/>
          <w:numId w:val="3"/>
        </w:numPr>
        <w:tabs>
          <w:tab w:pos="615" w:val="left" w:leader="none"/>
        </w:tabs>
        <w:spacing w:line="240" w:lineRule="auto" w:before="109" w:after="0"/>
        <w:ind w:left="614" w:right="0" w:hanging="495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登录</w:t>
      </w:r>
    </w:p>
    <w:p>
      <w:pPr>
        <w:pStyle w:val="BodyText"/>
        <w:spacing w:line="417" w:lineRule="auto" w:before="201"/>
        <w:ind w:left="120" w:right="653" w:firstLine="559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1674739</wp:posOffset>
            </wp:positionH>
            <wp:positionV relativeFrom="paragraph">
              <wp:posOffset>1397317</wp:posOffset>
            </wp:positionV>
            <wp:extent cx="4222521" cy="2551747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521" cy="255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打开学校就业信息网</w:t>
      </w:r>
      <w:hyperlink r:id="rId6">
        <w:r>
          <w:rPr>
            <w:spacing w:val="-7"/>
          </w:rPr>
          <w:t>（http://czie.91job.org.cn/</w:t>
        </w:r>
      </w:hyperlink>
      <w:r>
        <w:rPr>
          <w:spacing w:val="-7"/>
        </w:rPr>
        <w:t>），</w:t>
      </w:r>
      <w:r>
        <w:rPr/>
        <w:t>点击网签</w:t>
      </w:r>
      <w:r>
        <w:rPr>
          <w:spacing w:val="-11"/>
        </w:rPr>
        <w:t>系统或点击学生登录，跳转至学生登录界面。输入学号及密码即可登录（</w:t>
      </w:r>
      <w:r>
        <w:rPr>
          <w:spacing w:val="-13"/>
        </w:rPr>
        <w:t>初始密码为学号后 </w:t>
      </w:r>
      <w:r>
        <w:rPr/>
        <w:t>6</w:t>
      </w:r>
      <w:r>
        <w:rPr>
          <w:spacing w:val="-36"/>
        </w:rPr>
        <w:t> 位</w:t>
      </w:r>
      <w:r>
        <w:rPr/>
        <w:t>）。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1580388</wp:posOffset>
            </wp:positionH>
            <wp:positionV relativeFrom="paragraph">
              <wp:posOffset>137731</wp:posOffset>
            </wp:positionV>
            <wp:extent cx="4354075" cy="288759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75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17" w:lineRule="auto" w:before="192"/>
        <w:ind w:left="120" w:right="702" w:firstLine="559"/>
        <w:jc w:val="both"/>
      </w:pPr>
      <w:r>
        <w:rPr>
          <w:spacing w:val="-8"/>
        </w:rPr>
        <w:t>注：当前仅开通了 </w:t>
      </w:r>
      <w:r>
        <w:rPr/>
        <w:t>2020</w:t>
      </w:r>
      <w:r>
        <w:rPr>
          <w:spacing w:val="-9"/>
        </w:rPr>
        <w:t> 届毕业生的网签登录权限，</w:t>
      </w:r>
      <w:r>
        <w:rPr>
          <w:spacing w:val="-5"/>
          <w:shd w:fill="FDFDC0" w:color="auto" w:val="clear"/>
        </w:rPr>
        <w:t>毕业生若不</w:t>
      </w:r>
      <w:r>
        <w:rPr>
          <w:spacing w:val="-261"/>
          <w:shd w:fill="FDFDC0" w:color="auto" w:val="clear"/>
        </w:rPr>
        <w:t>能</w:t>
      </w:r>
      <w:r>
        <w:rPr>
          <w:spacing w:val="-3"/>
          <w:shd w:fill="FDFDC0" w:color="auto" w:val="clear"/>
        </w:rPr>
        <w:t>正常登录，请联系学院</w:t>
      </w:r>
      <w:r>
        <w:rPr/>
        <w:t>。</w:t>
      </w:r>
    </w:p>
    <w:p>
      <w:pPr>
        <w:spacing w:after="0" w:line="417" w:lineRule="auto"/>
        <w:jc w:val="both"/>
        <w:sectPr>
          <w:pgSz w:w="11910" w:h="16840"/>
          <w:pgMar w:top="1520" w:bottom="280" w:left="1680" w:right="1140"/>
        </w:sectPr>
      </w:pPr>
    </w:p>
    <w:p>
      <w:pPr>
        <w:pStyle w:val="Heading1"/>
        <w:numPr>
          <w:ilvl w:val="1"/>
          <w:numId w:val="3"/>
        </w:numPr>
        <w:tabs>
          <w:tab w:pos="622" w:val="left" w:leader="none"/>
        </w:tabs>
        <w:spacing w:line="457" w:lineRule="exact" w:before="0" w:after="0"/>
        <w:ind w:left="622" w:right="0" w:hanging="502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>
          <w:spacing w:val="4"/>
        </w:rPr>
        <w:t>登录成功</w:t>
      </w:r>
    </w:p>
    <w:p>
      <w:pPr>
        <w:pStyle w:val="BodyText"/>
        <w:spacing w:line="417" w:lineRule="auto" w:before="201"/>
        <w:ind w:left="120" w:right="655" w:firstLine="559"/>
        <w:jc w:val="both"/>
      </w:pPr>
      <w:r>
        <w:rPr/>
        <w:drawing>
          <wp:anchor distT="0" distB="0" distL="0" distR="0" allowOverlap="1" layoutInCell="1" locked="0" behindDoc="1" simplePos="0" relativeHeight="251433984">
            <wp:simplePos x="0" y="0"/>
            <wp:positionH relativeFrom="page">
              <wp:posOffset>1143000</wp:posOffset>
            </wp:positionH>
            <wp:positionV relativeFrom="paragraph">
              <wp:posOffset>1279016</wp:posOffset>
            </wp:positionV>
            <wp:extent cx="5266944" cy="28727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登录成功的学生，页面会直接跳转至学生中心，学生可在学生中心中完成各类就业手续办理、求职信息管理、各类就业服务以及对账</w:t>
      </w:r>
      <w:r>
        <w:rPr>
          <w:spacing w:val="-1"/>
        </w:rPr>
        <w:t>号的管理。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90"/>
        <w:ind w:left="120" w:firstLine="0"/>
      </w:pPr>
      <w:bookmarkStart w:name="_bookmark3" w:id="6"/>
      <w:bookmarkEnd w:id="6"/>
      <w:r>
        <w:rPr>
          <w:b w:val="0"/>
        </w:rPr>
      </w:r>
      <w:r>
        <w:rPr/>
        <w:t>二、网上签约</w:t>
      </w:r>
    </w:p>
    <w:p>
      <w:pPr>
        <w:pStyle w:val="Heading1"/>
        <w:numPr>
          <w:ilvl w:val="1"/>
          <w:numId w:val="4"/>
        </w:numPr>
        <w:tabs>
          <w:tab w:pos="615" w:val="left" w:leader="none"/>
        </w:tabs>
        <w:spacing w:line="240" w:lineRule="auto" w:before="109" w:after="0"/>
        <w:ind w:left="614" w:right="0" w:hanging="495"/>
        <w:jc w:val="left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电子签约</w:t>
      </w:r>
    </w:p>
    <w:p>
      <w:pPr>
        <w:pStyle w:val="BodyText"/>
        <w:spacing w:line="417" w:lineRule="auto" w:before="201"/>
        <w:ind w:left="120" w:right="656" w:firstLine="559"/>
      </w:pPr>
      <w:r>
        <w:rPr>
          <w:spacing w:val="-22"/>
        </w:rPr>
        <w:t>学生中心的就业手续版块点击【网上签约】，进入电子签约页面， </w:t>
      </w:r>
      <w:r>
        <w:rPr>
          <w:spacing w:val="-3"/>
        </w:rPr>
        <w:t>可查看单位发起的签约邀请函并进行应约或拒绝操作。</w:t>
      </w:r>
    </w:p>
    <w:p>
      <w:pPr>
        <w:spacing w:after="0" w:line="417" w:lineRule="auto"/>
        <w:sectPr>
          <w:pgSz w:w="11910" w:h="16840"/>
          <w:pgMar w:top="1520" w:bottom="280" w:left="1680" w:right="11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85489" cy="299256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489" cy="299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417" w:lineRule="auto" w:before="61"/>
        <w:ind w:left="120" w:right="1124" w:firstLine="559"/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1143000</wp:posOffset>
            </wp:positionH>
            <wp:positionV relativeFrom="paragraph">
              <wp:posOffset>813308</wp:posOffset>
            </wp:positionV>
            <wp:extent cx="5273040" cy="282244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第一次登陆网签系统，需要进行手机认证，如手机号码已变更，请与二级学院就业辅导员老师联系进行修改。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2"/>
          <w:numId w:val="4"/>
        </w:numPr>
        <w:tabs>
          <w:tab w:pos="896" w:val="left" w:leader="none"/>
        </w:tabs>
        <w:spacing w:line="240" w:lineRule="auto" w:before="190" w:after="0"/>
        <w:ind w:left="895" w:right="0" w:hanging="776"/>
        <w:jc w:val="left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查看邀请函</w:t>
      </w:r>
      <w:r>
        <w:rPr/>
        <w:t>（同意或拒绝）</w:t>
      </w:r>
    </w:p>
    <w:p>
      <w:pPr>
        <w:pStyle w:val="BodyText"/>
        <w:spacing w:line="417" w:lineRule="auto" w:before="201"/>
        <w:ind w:left="120" w:right="655" w:firstLine="419"/>
      </w:pPr>
      <w:r>
        <w:rPr>
          <w:spacing w:val="-17"/>
        </w:rPr>
        <w:t>点击【查看邀请函】，可查看单位发送的邀请信息，包含：薪资、</w:t>
      </w:r>
      <w:r>
        <w:rPr>
          <w:spacing w:val="-8"/>
        </w:rPr>
        <w:t>职位、约定等信息。学生可选择“同意”或“拒绝”。</w:t>
      </w:r>
    </w:p>
    <w:p>
      <w:pPr>
        <w:spacing w:after="0" w:line="417" w:lineRule="auto"/>
        <w:sectPr>
          <w:pgSz w:w="11910" w:h="16840"/>
          <w:pgMar w:top="1560" w:bottom="280" w:left="1680" w:right="11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8979" cy="2841783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79" cy="284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1143000</wp:posOffset>
            </wp:positionH>
            <wp:positionV relativeFrom="paragraph">
              <wp:posOffset>118342</wp:posOffset>
            </wp:positionV>
            <wp:extent cx="5187677" cy="284607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677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580" w:bottom="280" w:left="1680" w:right="11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6405" cy="296608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40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  <w:numPr>
          <w:ilvl w:val="2"/>
          <w:numId w:val="4"/>
        </w:numPr>
        <w:tabs>
          <w:tab w:pos="896" w:val="left" w:leader="none"/>
        </w:tabs>
        <w:spacing w:line="485" w:lineRule="exact" w:before="0" w:after="0"/>
        <w:ind w:left="895" w:right="0" w:hanging="776"/>
        <w:jc w:val="left"/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查看详情</w:t>
      </w:r>
    </w:p>
    <w:p>
      <w:pPr>
        <w:pStyle w:val="BodyText"/>
        <w:spacing w:before="201"/>
        <w:ind w:left="540"/>
      </w:pPr>
      <w:r>
        <w:rPr/>
        <w:t>点击【查看详情】按钮，可查看甲乙双方的签约信息详情。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1143000</wp:posOffset>
            </wp:positionH>
            <wp:positionV relativeFrom="paragraph">
              <wp:posOffset>201859</wp:posOffset>
            </wp:positionV>
            <wp:extent cx="5277291" cy="2879217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291" cy="287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2"/>
          <w:numId w:val="4"/>
        </w:numPr>
        <w:tabs>
          <w:tab w:pos="896" w:val="left" w:leader="none"/>
        </w:tabs>
        <w:spacing w:line="240" w:lineRule="auto" w:before="84" w:after="0"/>
        <w:ind w:left="895" w:right="0" w:hanging="776"/>
        <w:jc w:val="left"/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/>
        <w:t>等待学校签约审核</w:t>
      </w:r>
    </w:p>
    <w:p>
      <w:pPr>
        <w:pStyle w:val="BodyText"/>
        <w:spacing w:before="202"/>
        <w:ind w:left="679"/>
      </w:pPr>
      <w:r>
        <w:rPr/>
        <w:t>学生与单位签约完成后，需等待学校的签约审核。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79"/>
      </w:pPr>
      <w:r>
        <w:rPr/>
        <w:t>学生可持续关注审核状态，当状态变为“签约审核通过”即表示</w:t>
      </w:r>
    </w:p>
    <w:p>
      <w:pPr>
        <w:spacing w:after="0"/>
        <w:sectPr>
          <w:pgSz w:w="11910" w:h="16840"/>
          <w:pgMar w:top="1560" w:bottom="280" w:left="1680" w:right="1140"/>
        </w:sectPr>
      </w:pPr>
    </w:p>
    <w:p>
      <w:pPr>
        <w:pStyle w:val="BodyText"/>
        <w:spacing w:before="34"/>
        <w:ind w:left="120"/>
      </w:pPr>
      <w:r>
        <w:rPr/>
        <w:t>学校审核已完成。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1498091</wp:posOffset>
            </wp:positionH>
            <wp:positionV relativeFrom="paragraph">
              <wp:posOffset>131603</wp:posOffset>
            </wp:positionV>
            <wp:extent cx="5319294" cy="289179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294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2"/>
          <w:numId w:val="4"/>
        </w:numPr>
        <w:tabs>
          <w:tab w:pos="896" w:val="left" w:leader="none"/>
        </w:tabs>
        <w:spacing w:line="240" w:lineRule="auto" w:before="64" w:after="0"/>
        <w:ind w:left="895" w:right="0" w:hanging="776"/>
        <w:jc w:val="left"/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/>
        <w:t>逾期未处理</w:t>
      </w:r>
    </w:p>
    <w:p>
      <w:pPr>
        <w:pStyle w:val="BodyText"/>
        <w:spacing w:line="417" w:lineRule="auto" w:before="201"/>
        <w:ind w:left="120" w:right="656" w:firstLine="559"/>
      </w:pPr>
      <w:r>
        <w:rPr>
          <w:spacing w:val="-6"/>
          <w:shd w:fill="FDFDC0" w:color="auto" w:val="clear"/>
        </w:rPr>
        <w:t>如学生未在规定时间内</w:t>
      </w:r>
      <w:r>
        <w:rPr>
          <w:shd w:fill="FDFDC0" w:color="auto" w:val="clear"/>
        </w:rPr>
        <w:t>（</w:t>
      </w:r>
      <w:r>
        <w:rPr>
          <w:spacing w:val="-16"/>
          <w:shd w:fill="FDFDC0" w:color="auto" w:val="clear"/>
        </w:rPr>
        <w:t>一般为 </w:t>
      </w:r>
      <w:r>
        <w:rPr>
          <w:shd w:fill="FDFDC0" w:color="auto" w:val="clear"/>
        </w:rPr>
        <w:t>5</w:t>
      </w:r>
      <w:r>
        <w:rPr>
          <w:spacing w:val="-32"/>
          <w:shd w:fill="FDFDC0" w:color="auto" w:val="clear"/>
        </w:rPr>
        <w:t> 天）</w:t>
      </w:r>
      <w:r>
        <w:rPr>
          <w:spacing w:val="-6"/>
          <w:shd w:fill="FDFDC0" w:color="auto" w:val="clear"/>
        </w:rPr>
        <w:t>响应单位的签约邀请，则</w:t>
      </w:r>
      <w:r>
        <w:rPr>
          <w:spacing w:val="-276"/>
          <w:shd w:fill="FDFDC0" w:color="auto" w:val="clear"/>
        </w:rPr>
        <w:t>视为</w:t>
      </w:r>
      <w:r>
        <w:rPr>
          <w:spacing w:val="-2"/>
          <w:shd w:fill="FDFDC0" w:color="auto" w:val="clear"/>
        </w:rPr>
        <w:t>过期失效。</w:t>
      </w:r>
    </w:p>
    <w:p>
      <w:pPr>
        <w:pStyle w:val="Heading1"/>
        <w:numPr>
          <w:ilvl w:val="1"/>
          <w:numId w:val="4"/>
        </w:numPr>
        <w:tabs>
          <w:tab w:pos="615" w:val="left" w:leader="none"/>
        </w:tabs>
        <w:spacing w:line="422" w:lineRule="exact" w:before="0" w:after="0"/>
        <w:ind w:left="614" w:right="0" w:hanging="495"/>
        <w:jc w:val="left"/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/>
        <w:t>解约办理</w:t>
      </w:r>
    </w:p>
    <w:p>
      <w:pPr>
        <w:pStyle w:val="Heading1"/>
        <w:numPr>
          <w:ilvl w:val="2"/>
          <w:numId w:val="4"/>
        </w:numPr>
        <w:tabs>
          <w:tab w:pos="896" w:val="left" w:leader="none"/>
        </w:tabs>
        <w:spacing w:line="240" w:lineRule="auto" w:before="109" w:after="0"/>
        <w:ind w:left="895" w:right="0" w:hanging="776"/>
        <w:jc w:val="left"/>
      </w:pP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/>
        <w:t>学生发起解约申请</w:t>
      </w:r>
    </w:p>
    <w:p>
      <w:pPr>
        <w:pStyle w:val="BodyText"/>
        <w:spacing w:line="417" w:lineRule="auto" w:before="202"/>
        <w:ind w:left="120" w:right="655" w:firstLine="559"/>
      </w:pPr>
      <w:r>
        <w:rPr>
          <w:spacing w:val="-10"/>
        </w:rPr>
        <w:t>在签约中心模块中，点击【解约办理】按钮，可向单位发起解约</w:t>
      </w:r>
      <w:r>
        <w:rPr>
          <w:spacing w:val="-3"/>
        </w:rPr>
        <w:t>申请，需填写申请解约的原因。</w:t>
      </w:r>
    </w:p>
    <w:p>
      <w:pPr>
        <w:spacing w:after="0" w:line="417" w:lineRule="auto"/>
        <w:sectPr>
          <w:pgSz w:w="11910" w:h="16840"/>
          <w:pgMar w:top="1520" w:bottom="280" w:left="1680" w:right="11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9592" cy="268319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592" cy="268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2"/>
        </w:rPr>
      </w:pPr>
    </w:p>
    <w:p>
      <w:pPr>
        <w:pStyle w:val="Heading1"/>
        <w:numPr>
          <w:ilvl w:val="2"/>
          <w:numId w:val="4"/>
        </w:numPr>
        <w:tabs>
          <w:tab w:pos="896" w:val="left" w:leader="none"/>
        </w:tabs>
        <w:spacing w:line="484" w:lineRule="exact" w:before="0" w:after="0"/>
        <w:ind w:left="895" w:right="0" w:hanging="776"/>
        <w:jc w:val="left"/>
      </w:pP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/>
        <w:t>单位发起解约申请</w:t>
      </w:r>
    </w:p>
    <w:p>
      <w:pPr>
        <w:pStyle w:val="BodyText"/>
        <w:spacing w:line="417" w:lineRule="auto" w:before="201" w:after="15"/>
        <w:ind w:left="120" w:right="656" w:firstLine="419"/>
      </w:pPr>
      <w:r>
        <w:rPr/>
        <w:t>如单位发起解约申请，学生也可在解约办理中查看解约详情，进行解约同意操作。</w:t>
      </w: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0072" cy="274748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72" cy="274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80" w:bottom="280" w:left="1680" w:right="11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043" cy="270338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043" cy="27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2"/>
          <w:numId w:val="4"/>
        </w:numPr>
        <w:tabs>
          <w:tab w:pos="896" w:val="left" w:leader="none"/>
        </w:tabs>
        <w:spacing w:line="484" w:lineRule="exact" w:before="0" w:after="0"/>
        <w:ind w:left="895" w:right="0" w:hanging="776"/>
        <w:jc w:val="left"/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/>
        <w:t>等待管理员审核</w:t>
      </w:r>
    </w:p>
    <w:p>
      <w:pPr>
        <w:pStyle w:val="BodyText"/>
        <w:spacing w:line="417" w:lineRule="auto" w:before="201"/>
        <w:ind w:left="120" w:right="656" w:firstLine="419"/>
        <w:jc w:val="both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1143000</wp:posOffset>
            </wp:positionH>
            <wp:positionV relativeFrom="paragraph">
              <wp:posOffset>1349262</wp:posOffset>
            </wp:positionV>
            <wp:extent cx="5167902" cy="2577465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902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学生或单位双方都同意解约后，等待管理员审核，审核通过后状</w:t>
      </w:r>
      <w:r>
        <w:rPr>
          <w:spacing w:val="-12"/>
        </w:rPr>
        <w:t>态将变为“解约审核通过”。此时学生可重新应约单位发起的签约邀请。</w:t>
      </w:r>
    </w:p>
    <w:p>
      <w:pPr>
        <w:spacing w:after="0" w:line="417" w:lineRule="auto"/>
        <w:jc w:val="both"/>
        <w:sectPr>
          <w:pgSz w:w="11910" w:h="16840"/>
          <w:pgMar w:top="1500" w:bottom="280" w:left="1680" w:right="11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767" cy="2661761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767" cy="266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pStyle w:val="Heading1"/>
        <w:spacing w:line="484" w:lineRule="exact"/>
        <w:ind w:left="120" w:firstLine="0"/>
      </w:pPr>
      <w:bookmarkStart w:name="_bookmark13" w:id="25"/>
      <w:bookmarkEnd w:id="25"/>
      <w:r>
        <w:rPr>
          <w:b w:val="0"/>
        </w:rPr>
      </w:r>
      <w:r>
        <w:rPr/>
        <w:t>三、网签注意事项</w:t>
      </w:r>
    </w:p>
    <w:p>
      <w:pPr>
        <w:pStyle w:val="ListParagraph"/>
        <w:numPr>
          <w:ilvl w:val="3"/>
          <w:numId w:val="4"/>
        </w:numPr>
        <w:tabs>
          <w:tab w:pos="963" w:val="left" w:leader="none"/>
        </w:tabs>
        <w:spacing w:line="417" w:lineRule="auto" w:before="201" w:after="0"/>
        <w:ind w:left="120" w:right="843" w:firstLine="561"/>
        <w:jc w:val="left"/>
        <w:rPr>
          <w:sz w:val="28"/>
        </w:rPr>
      </w:pPr>
      <w:r>
        <w:rPr>
          <w:spacing w:val="-4"/>
          <w:sz w:val="28"/>
        </w:rPr>
        <w:t>由于系统尚在试运行阶段，用人单位和毕业生仍可采取邮寄</w:t>
      </w:r>
      <w:r>
        <w:rPr>
          <w:spacing w:val="-3"/>
          <w:sz w:val="28"/>
        </w:rPr>
        <w:t>的方式签订纸质版协议书，</w:t>
      </w:r>
      <w:r>
        <w:rPr>
          <w:spacing w:val="-3"/>
          <w:sz w:val="28"/>
          <w:shd w:fill="FDFDC0" w:color="auto" w:val="clear"/>
        </w:rPr>
        <w:t>网签和纸质签约只可选择一种。</w:t>
      </w:r>
    </w:p>
    <w:p>
      <w:pPr>
        <w:pStyle w:val="ListParagraph"/>
        <w:numPr>
          <w:ilvl w:val="3"/>
          <w:numId w:val="4"/>
        </w:numPr>
        <w:tabs>
          <w:tab w:pos="963" w:val="left" w:leader="none"/>
        </w:tabs>
        <w:spacing w:line="417" w:lineRule="auto" w:before="0" w:after="0"/>
        <w:ind w:left="120" w:right="845" w:firstLine="559"/>
        <w:jc w:val="both"/>
        <w:rPr>
          <w:sz w:val="28"/>
        </w:rPr>
      </w:pPr>
      <w:r>
        <w:rPr>
          <w:spacing w:val="-4"/>
          <w:sz w:val="28"/>
          <w:shd w:fill="FDFDC0" w:color="auto" w:val="clear"/>
        </w:rPr>
        <w:t>毕业生一旦网上签约成功，不得再签订纸质版协议书，须将</w:t>
      </w:r>
      <w:r>
        <w:rPr>
          <w:spacing w:val="-261"/>
          <w:sz w:val="28"/>
          <w:shd w:fill="FDFDC0" w:color="auto" w:val="clear"/>
        </w:rPr>
        <w:t>已</w:t>
      </w:r>
      <w:r>
        <w:rPr>
          <w:spacing w:val="-3"/>
          <w:sz w:val="28"/>
          <w:shd w:fill="FDFDC0" w:color="auto" w:val="clear"/>
        </w:rPr>
        <w:t>领取的纸质协议书交还给学校，学校审核通过后将自动同步就业信息，毕业生无需再上报</w:t>
      </w:r>
      <w:r>
        <w:rPr>
          <w:sz w:val="28"/>
        </w:rPr>
        <w:t>。</w:t>
      </w:r>
    </w:p>
    <w:p>
      <w:pPr>
        <w:pStyle w:val="ListParagraph"/>
        <w:numPr>
          <w:ilvl w:val="3"/>
          <w:numId w:val="4"/>
        </w:numPr>
        <w:tabs>
          <w:tab w:pos="963" w:val="left" w:leader="none"/>
        </w:tabs>
        <w:spacing w:line="417" w:lineRule="auto" w:before="0" w:after="0"/>
        <w:ind w:left="120" w:right="1124" w:firstLine="559"/>
        <w:jc w:val="left"/>
        <w:rPr>
          <w:sz w:val="28"/>
        </w:rPr>
      </w:pPr>
      <w:r>
        <w:rPr>
          <w:spacing w:val="-3"/>
          <w:sz w:val="28"/>
        </w:rPr>
        <w:t>为充分保障毕业生的签约权利，</w:t>
      </w:r>
      <w:r>
        <w:rPr>
          <w:spacing w:val="-14"/>
          <w:sz w:val="28"/>
          <w:shd w:fill="FDFDC0" w:color="auto" w:val="clear"/>
        </w:rPr>
        <w:t>系统设置 </w:t>
      </w:r>
      <w:r>
        <w:rPr>
          <w:sz w:val="28"/>
          <w:shd w:fill="FDFDC0" w:color="auto" w:val="clear"/>
        </w:rPr>
        <w:t>5</w:t>
      </w:r>
      <w:r>
        <w:rPr>
          <w:spacing w:val="-13"/>
          <w:sz w:val="28"/>
          <w:shd w:fill="FDFDC0" w:color="auto" w:val="clear"/>
        </w:rPr>
        <w:t> 日的签约考虑</w:t>
      </w:r>
      <w:r>
        <w:rPr>
          <w:spacing w:val="-261"/>
          <w:sz w:val="28"/>
          <w:shd w:fill="FDFDC0" w:color="auto" w:val="clear"/>
        </w:rPr>
        <w:t>期</w:t>
      </w:r>
      <w:r>
        <w:rPr>
          <w:spacing w:val="-3"/>
          <w:sz w:val="28"/>
          <w:shd w:fill="FDFDC0" w:color="auto" w:val="clear"/>
        </w:rPr>
        <w:t>，请各位学生慎重签约</w:t>
      </w:r>
      <w:r>
        <w:rPr>
          <w:sz w:val="28"/>
        </w:rPr>
        <w:t>。</w:t>
      </w:r>
    </w:p>
    <w:p>
      <w:pPr>
        <w:pStyle w:val="ListParagraph"/>
        <w:numPr>
          <w:ilvl w:val="3"/>
          <w:numId w:val="4"/>
        </w:numPr>
        <w:tabs>
          <w:tab w:pos="963" w:val="left" w:leader="none"/>
        </w:tabs>
        <w:spacing w:line="417" w:lineRule="auto" w:before="0" w:after="0"/>
        <w:ind w:left="120" w:right="845" w:firstLine="559"/>
        <w:jc w:val="left"/>
        <w:rPr>
          <w:sz w:val="28"/>
        </w:rPr>
      </w:pPr>
      <w:r>
        <w:rPr>
          <w:spacing w:val="-4"/>
          <w:sz w:val="28"/>
        </w:rPr>
        <w:t>网上签约流程结束后，平台将生成含有高校防伪水印的电子就业协议书，可由用人单位纸质打印后加盖相关公章交由毕业生。</w:t>
      </w:r>
    </w:p>
    <w:sectPr>
      <w:pgSz w:w="11910" w:h="16840"/>
      <w:pgMar w:top="1580" w:bottom="280" w:left="168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等线">
    <w:altName w:val="等线"/>
    <w:charset w:val="86"/>
    <w:family w:val="auto"/>
    <w:pitch w:val="variable"/>
  </w:font>
  <w:font w:name="Microsoft JhengHei">
    <w:altName w:val="Microsoft JhengHei"/>
    <w:charset w:val="0"/>
    <w:family w:val="swiss"/>
    <w:pitch w:val="variable"/>
  </w:font>
  <w:font w:name="宋体">
    <w:altName w:val="宋体"/>
    <w:charset w:val="86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2"/>
      <w:numFmt w:val="decimal"/>
      <w:lvlText w:val="%1"/>
      <w:lvlJc w:val="left"/>
      <w:pPr>
        <w:ind w:left="614" w:hanging="495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14" w:hanging="495"/>
        <w:jc w:val="left"/>
      </w:pPr>
      <w:rPr>
        <w:rFonts w:hint="default" w:ascii="Microsoft JhengHei" w:hAnsi="Microsoft JhengHei" w:eastAsia="Microsoft JhengHei" w:cs="Microsoft JhengHei"/>
        <w:b/>
        <w:bCs/>
        <w:spacing w:val="0"/>
        <w:w w:val="84"/>
        <w:sz w:val="28"/>
        <w:szCs w:val="28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895" w:hanging="776"/>
        <w:jc w:val="left"/>
      </w:pPr>
      <w:rPr>
        <w:rFonts w:hint="default" w:ascii="Microsoft JhengHei" w:hAnsi="Microsoft JhengHei" w:eastAsia="Microsoft JhengHei" w:cs="Microsoft JhengHei"/>
        <w:b/>
        <w:bCs/>
        <w:spacing w:val="0"/>
        <w:w w:val="84"/>
        <w:sz w:val="28"/>
        <w:szCs w:val="28"/>
        <w:lang w:val="zh-CN" w:eastAsia="zh-CN" w:bidi="zh-CN"/>
      </w:rPr>
    </w:lvl>
    <w:lvl w:ilvl="3">
      <w:start w:val="1"/>
      <w:numFmt w:val="decimal"/>
      <w:lvlText w:val="%4."/>
      <w:lvlJc w:val="left"/>
      <w:pPr>
        <w:ind w:left="120" w:hanging="281"/>
        <w:jc w:val="left"/>
      </w:pPr>
      <w:rPr>
        <w:rFonts w:hint="default" w:ascii="宋体" w:hAnsi="宋体" w:eastAsia="宋体" w:cs="宋体"/>
        <w:spacing w:val="-2"/>
        <w:w w:val="100"/>
        <w:sz w:val="26"/>
        <w:szCs w:val="26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946" w:hanging="28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969" w:hanging="28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4993" w:hanging="28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016" w:hanging="28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039" w:hanging="281"/>
      </w:pPr>
      <w:rPr>
        <w:rFonts w:hint="default"/>
        <w:lang w:val="zh-CN" w:eastAsia="zh-CN" w:bidi="zh-CN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14" w:hanging="495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14" w:hanging="495"/>
        <w:jc w:val="left"/>
      </w:pPr>
      <w:rPr>
        <w:rFonts w:hint="default" w:ascii="Microsoft JhengHei" w:hAnsi="Microsoft JhengHei" w:eastAsia="Microsoft JhengHei" w:cs="Microsoft JhengHei"/>
        <w:b/>
        <w:bCs/>
        <w:spacing w:val="0"/>
        <w:w w:val="104"/>
        <w:sz w:val="28"/>
        <w:szCs w:val="28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313" w:hanging="495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159" w:hanging="495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006" w:hanging="495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853" w:hanging="495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699" w:hanging="495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546" w:hanging="495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393" w:hanging="495"/>
      </w:pPr>
      <w:rPr>
        <w:rFonts w:hint="default"/>
        <w:lang w:val="zh-CN" w:eastAsia="zh-CN" w:bidi="zh-CN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30" w:hanging="490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030" w:hanging="490"/>
        <w:jc w:val="left"/>
      </w:pPr>
      <w:rPr>
        <w:rFonts w:hint="default" w:ascii="宋体" w:hAnsi="宋体" w:eastAsia="宋体" w:cs="宋体"/>
        <w:spacing w:val="-2"/>
        <w:w w:val="100"/>
        <w:sz w:val="28"/>
        <w:szCs w:val="28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730" w:hanging="771"/>
        <w:jc w:val="left"/>
      </w:pPr>
      <w:rPr>
        <w:rFonts w:hint="default" w:ascii="宋体" w:hAnsi="宋体" w:eastAsia="宋体" w:cs="宋体"/>
        <w:spacing w:val="-2"/>
        <w:w w:val="100"/>
        <w:sz w:val="28"/>
        <w:szCs w:val="28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372" w:hanging="771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188" w:hanging="77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005" w:hanging="77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821" w:hanging="77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637" w:hanging="77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453" w:hanging="771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30" w:hanging="490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030" w:hanging="490"/>
        <w:jc w:val="left"/>
      </w:pPr>
      <w:rPr>
        <w:rFonts w:hint="default" w:ascii="宋体" w:hAnsi="宋体" w:eastAsia="宋体" w:cs="宋体"/>
        <w:spacing w:val="-2"/>
        <w:w w:val="100"/>
        <w:sz w:val="28"/>
        <w:szCs w:val="28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649" w:hanging="49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453" w:hanging="49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258" w:hanging="49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063" w:hanging="49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867" w:hanging="49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672" w:hanging="49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477" w:hanging="490"/>
      </w:pPr>
      <w:rPr>
        <w:rFonts w:hint="default"/>
        <w:lang w:val="zh-CN" w:eastAsia="zh-CN" w:bidi="zh-CN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zh-CN" w:eastAsia="zh-CN" w:bidi="zh-CN"/>
    </w:rPr>
  </w:style>
  <w:style w:styleId="TOC1" w:type="paragraph">
    <w:name w:val="TOC 1"/>
    <w:basedOn w:val="Normal"/>
    <w:uiPriority w:val="1"/>
    <w:qFormat/>
    <w:pPr>
      <w:spacing w:before="202"/>
      <w:ind w:left="1730" w:right="654" w:hanging="1731"/>
      <w:jc w:val="right"/>
    </w:pPr>
    <w:rPr>
      <w:rFonts w:ascii="宋体" w:hAnsi="宋体" w:eastAsia="宋体" w:cs="宋体"/>
      <w:sz w:val="28"/>
      <w:szCs w:val="28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8"/>
      <w:szCs w:val="28"/>
      <w:lang w:val="zh-CN" w:eastAsia="zh-CN" w:bidi="zh-CN"/>
    </w:rPr>
  </w:style>
  <w:style w:styleId="Heading1" w:type="paragraph">
    <w:name w:val="Heading 1"/>
    <w:basedOn w:val="Normal"/>
    <w:uiPriority w:val="1"/>
    <w:qFormat/>
    <w:pPr>
      <w:ind w:left="895" w:hanging="776"/>
      <w:outlineLvl w:val="1"/>
    </w:pPr>
    <w:rPr>
      <w:rFonts w:ascii="Microsoft JhengHei" w:hAnsi="Microsoft JhengHei" w:eastAsia="Microsoft JhengHei" w:cs="Microsoft JhengHei"/>
      <w:b/>
      <w:bCs/>
      <w:sz w:val="28"/>
      <w:szCs w:val="28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ind w:left="895" w:hanging="1731"/>
    </w:pPr>
    <w:rPr>
      <w:rFonts w:ascii="宋体" w:hAnsi="宋体" w:eastAsia="宋体" w:cs="宋体"/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czie.91job.org.cn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2021-01-06T03:13:29Z</dcterms:created>
  <dcterms:modified xsi:type="dcterms:W3CDTF">2021-01-06T03:13:29Z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2021-01-06T00:00:00Z</vt:filetime>
  </property>
</Properties>
</file>